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C4" w:rsidRPr="008A1BC4" w:rsidRDefault="008A1BC4" w:rsidP="004F5AF1">
      <w:pPr>
        <w:jc w:val="center"/>
        <w:rPr>
          <w:sz w:val="36"/>
          <w:u w:val="single"/>
        </w:rPr>
      </w:pPr>
      <w:r w:rsidRPr="008A1BC4">
        <w:rPr>
          <w:sz w:val="36"/>
          <w:u w:val="single"/>
        </w:rPr>
        <w:t>Guided Language Acquisition Design (</w:t>
      </w:r>
      <w:r w:rsidR="004F5AF1" w:rsidRPr="008A1BC4">
        <w:rPr>
          <w:sz w:val="36"/>
          <w:u w:val="single"/>
        </w:rPr>
        <w:t>GLAD</w:t>
      </w:r>
      <w:r w:rsidRPr="008A1BC4">
        <w:rPr>
          <w:sz w:val="36"/>
          <w:u w:val="single"/>
        </w:rPr>
        <w:t>)</w:t>
      </w:r>
      <w:r w:rsidR="004F5AF1" w:rsidRPr="008A1BC4">
        <w:rPr>
          <w:sz w:val="36"/>
          <w:u w:val="single"/>
        </w:rPr>
        <w:t xml:space="preserve"> </w:t>
      </w:r>
    </w:p>
    <w:p w:rsidR="007D1F73" w:rsidRDefault="008A1BC4" w:rsidP="004F5AF1">
      <w:pPr>
        <w:jc w:val="center"/>
        <w:rPr>
          <w:sz w:val="28"/>
        </w:rPr>
      </w:pPr>
      <w:r w:rsidRPr="008A1BC4">
        <w:rPr>
          <w:sz w:val="28"/>
        </w:rPr>
        <w:t xml:space="preserve">2015-16 Cedar Wood Grade Level </w:t>
      </w:r>
      <w:r w:rsidR="004F5AF1" w:rsidRPr="008A1BC4">
        <w:rPr>
          <w:sz w:val="28"/>
        </w:rPr>
        <w:t>Collaboration</w:t>
      </w:r>
    </w:p>
    <w:p w:rsidR="00B561F9" w:rsidRPr="008A1BC4" w:rsidRDefault="00B561F9" w:rsidP="00B561F9">
      <w:pPr>
        <w:rPr>
          <w:sz w:val="28"/>
        </w:rPr>
      </w:pPr>
      <w:r>
        <w:rPr>
          <w:sz w:val="28"/>
        </w:rPr>
        <w:t>T</w:t>
      </w:r>
      <w:r>
        <w:rPr>
          <w:sz w:val="28"/>
        </w:rPr>
        <w:t>o address our increased ELL population</w:t>
      </w:r>
      <w:r>
        <w:rPr>
          <w:sz w:val="28"/>
        </w:rPr>
        <w:t>, each grade level team at Cedar Wood has targeted specific content areas to enrich with GLAD strategies. These are listed below.</w:t>
      </w:r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9090"/>
      </w:tblGrid>
      <w:tr w:rsidR="009461CB" w:rsidRPr="004F5AF1" w:rsidTr="009461CB">
        <w:tc>
          <w:tcPr>
            <w:tcW w:w="1548" w:type="dxa"/>
          </w:tcPr>
          <w:p w:rsidR="009461CB" w:rsidRPr="009461CB" w:rsidRDefault="009461CB" w:rsidP="004F5AF1">
            <w:pPr>
              <w:rPr>
                <w:sz w:val="24"/>
                <w:szCs w:val="24"/>
              </w:rPr>
            </w:pPr>
            <w:r w:rsidRPr="009461CB">
              <w:rPr>
                <w:sz w:val="24"/>
                <w:szCs w:val="24"/>
              </w:rPr>
              <w:t>Grade Level</w:t>
            </w:r>
          </w:p>
        </w:tc>
        <w:tc>
          <w:tcPr>
            <w:tcW w:w="9090" w:type="dxa"/>
          </w:tcPr>
          <w:p w:rsidR="009461CB" w:rsidRPr="009461CB" w:rsidRDefault="009461CB" w:rsidP="004F5AF1">
            <w:pPr>
              <w:rPr>
                <w:sz w:val="24"/>
                <w:szCs w:val="24"/>
              </w:rPr>
            </w:pPr>
            <w:r w:rsidRPr="009461CB">
              <w:rPr>
                <w:sz w:val="24"/>
                <w:szCs w:val="24"/>
              </w:rPr>
              <w:t>Overview</w:t>
            </w:r>
          </w:p>
        </w:tc>
      </w:tr>
      <w:tr w:rsidR="009461CB" w:rsidRPr="004F5AF1" w:rsidTr="009461CB">
        <w:tc>
          <w:tcPr>
            <w:tcW w:w="1548" w:type="dxa"/>
          </w:tcPr>
          <w:p w:rsidR="009461CB" w:rsidRPr="009461CB" w:rsidRDefault="009461CB" w:rsidP="00946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9090" w:type="dxa"/>
          </w:tcPr>
          <w:p w:rsidR="0057302B" w:rsidRDefault="009461CB" w:rsidP="00D710A5">
            <w:pPr>
              <w:rPr>
                <w:sz w:val="24"/>
                <w:szCs w:val="24"/>
              </w:rPr>
            </w:pPr>
            <w:r w:rsidRPr="009461CB">
              <w:rPr>
                <w:sz w:val="24"/>
                <w:szCs w:val="24"/>
              </w:rPr>
              <w:t xml:space="preserve">Math focus – </w:t>
            </w:r>
          </w:p>
          <w:p w:rsidR="000F59F7" w:rsidRDefault="000F59F7" w:rsidP="00FA49E8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Integrating GLAD strategies into the addition and subtraction units</w:t>
            </w:r>
          </w:p>
          <w:p w:rsidR="009461CB" w:rsidRPr="0057302B" w:rsidRDefault="0057302B" w:rsidP="00FA49E8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9461CB" w:rsidRPr="0057302B">
              <w:rPr>
                <w:sz w:val="24"/>
                <w:szCs w:val="24"/>
              </w:rPr>
              <w:t xml:space="preserve">reating pictorials, chants, </w:t>
            </w:r>
            <w:r w:rsidR="00FA49E8">
              <w:rPr>
                <w:sz w:val="24"/>
                <w:szCs w:val="24"/>
              </w:rPr>
              <w:t>Picture File Cards</w:t>
            </w:r>
          </w:p>
        </w:tc>
      </w:tr>
      <w:tr w:rsidR="009461CB" w:rsidRPr="004F5AF1" w:rsidTr="009461CB">
        <w:tc>
          <w:tcPr>
            <w:tcW w:w="1548" w:type="dxa"/>
          </w:tcPr>
          <w:p w:rsidR="009461CB" w:rsidRPr="009461CB" w:rsidRDefault="009461CB" w:rsidP="009461CB">
            <w:pPr>
              <w:rPr>
                <w:sz w:val="24"/>
                <w:szCs w:val="24"/>
              </w:rPr>
            </w:pPr>
            <w:r w:rsidRPr="009461CB">
              <w:rPr>
                <w:sz w:val="24"/>
                <w:szCs w:val="24"/>
              </w:rPr>
              <w:t>1</w:t>
            </w:r>
            <w:r w:rsidRPr="009461CB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9090" w:type="dxa"/>
          </w:tcPr>
          <w:p w:rsidR="008013B9" w:rsidRDefault="008013B9" w:rsidP="00946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 focus –</w:t>
            </w:r>
          </w:p>
          <w:p w:rsidR="009461CB" w:rsidRDefault="009461CB" w:rsidP="008013B9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013B9">
              <w:rPr>
                <w:sz w:val="24"/>
                <w:szCs w:val="24"/>
              </w:rPr>
              <w:t xml:space="preserve">Created an integrated unit that celebrates “Traditions </w:t>
            </w:r>
            <w:proofErr w:type="gramStart"/>
            <w:r w:rsidRPr="008013B9">
              <w:rPr>
                <w:sz w:val="24"/>
                <w:szCs w:val="24"/>
              </w:rPr>
              <w:t>Around</w:t>
            </w:r>
            <w:proofErr w:type="gramEnd"/>
            <w:r w:rsidRPr="008013B9">
              <w:rPr>
                <w:sz w:val="24"/>
                <w:szCs w:val="24"/>
              </w:rPr>
              <w:t xml:space="preserve"> the World.”  First graders collaboratively research</w:t>
            </w:r>
            <w:r w:rsidR="00B561F9">
              <w:rPr>
                <w:sz w:val="24"/>
                <w:szCs w:val="24"/>
              </w:rPr>
              <w:t>ed</w:t>
            </w:r>
            <w:r w:rsidRPr="008013B9">
              <w:rPr>
                <w:sz w:val="24"/>
                <w:szCs w:val="24"/>
              </w:rPr>
              <w:t xml:space="preserve"> what the tradition is, why it is celebrated, where it is celebrated, and interesting facts.  Students </w:t>
            </w:r>
            <w:r w:rsidR="00B561F9">
              <w:rPr>
                <w:sz w:val="24"/>
                <w:szCs w:val="24"/>
              </w:rPr>
              <w:t>mad</w:t>
            </w:r>
            <w:r w:rsidRPr="008013B9">
              <w:rPr>
                <w:sz w:val="24"/>
                <w:szCs w:val="24"/>
              </w:rPr>
              <w:t xml:space="preserve">e connections between the different countries and traditions and then between the traditions and their own families. The culminating project </w:t>
            </w:r>
            <w:r w:rsidR="00B561F9">
              <w:rPr>
                <w:sz w:val="24"/>
                <w:szCs w:val="24"/>
              </w:rPr>
              <w:t xml:space="preserve">required each </w:t>
            </w:r>
            <w:r w:rsidRPr="008013B9">
              <w:rPr>
                <w:sz w:val="24"/>
                <w:szCs w:val="24"/>
              </w:rPr>
              <w:t xml:space="preserve">student </w:t>
            </w:r>
            <w:r w:rsidR="00B561F9">
              <w:rPr>
                <w:sz w:val="24"/>
                <w:szCs w:val="24"/>
              </w:rPr>
              <w:t xml:space="preserve">to </w:t>
            </w:r>
            <w:r w:rsidRPr="008013B9">
              <w:rPr>
                <w:sz w:val="24"/>
                <w:szCs w:val="24"/>
              </w:rPr>
              <w:t>present a tradition that is important in their family.</w:t>
            </w:r>
          </w:p>
          <w:p w:rsidR="008013B9" w:rsidRPr="008013B9" w:rsidRDefault="008013B9" w:rsidP="008013B9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GLAD strategies used in the unit: Pictorials, Picture File Cards, Mind Maps, Process Grid</w:t>
            </w:r>
          </w:p>
        </w:tc>
      </w:tr>
      <w:tr w:rsidR="009461CB" w:rsidRPr="004F5AF1" w:rsidTr="009461CB">
        <w:tc>
          <w:tcPr>
            <w:tcW w:w="1548" w:type="dxa"/>
          </w:tcPr>
          <w:p w:rsidR="009461CB" w:rsidRPr="009461CB" w:rsidRDefault="009461CB" w:rsidP="009461CB">
            <w:pPr>
              <w:rPr>
                <w:sz w:val="24"/>
                <w:szCs w:val="24"/>
              </w:rPr>
            </w:pPr>
            <w:r w:rsidRPr="009461CB">
              <w:rPr>
                <w:sz w:val="24"/>
                <w:szCs w:val="24"/>
              </w:rPr>
              <w:t>2</w:t>
            </w:r>
            <w:r w:rsidRPr="009461CB">
              <w:rPr>
                <w:sz w:val="24"/>
                <w:szCs w:val="24"/>
                <w:vertAlign w:val="superscript"/>
              </w:rPr>
              <w:t>nd</w:t>
            </w:r>
            <w:r w:rsidRPr="009461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90" w:type="dxa"/>
          </w:tcPr>
          <w:p w:rsidR="00C93802" w:rsidRPr="008D6ADD" w:rsidRDefault="00C93802" w:rsidP="00C93802">
            <w:pPr>
              <w:rPr>
                <w:sz w:val="24"/>
                <w:szCs w:val="24"/>
              </w:rPr>
            </w:pPr>
            <w:r w:rsidRPr="008D6ADD">
              <w:rPr>
                <w:sz w:val="24"/>
                <w:szCs w:val="24"/>
              </w:rPr>
              <w:t xml:space="preserve">ELA focus – </w:t>
            </w:r>
          </w:p>
          <w:p w:rsidR="00B561F9" w:rsidRDefault="00B561F9" w:rsidP="00C9380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D6ADD">
              <w:rPr>
                <w:sz w:val="24"/>
                <w:szCs w:val="24"/>
              </w:rPr>
              <w:t>Selected strategies that would help students compose multiple sentence paragraphs (Sentence Patterning Chart, Whole Class Group Frame, Cooperative Strip Paragraph)</w:t>
            </w:r>
          </w:p>
          <w:p w:rsidR="009461CB" w:rsidRPr="00B561F9" w:rsidRDefault="00C93802" w:rsidP="00B561F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D6ADD">
              <w:rPr>
                <w:sz w:val="24"/>
                <w:szCs w:val="24"/>
              </w:rPr>
              <w:t>Revisited GLAD charts and grids they had learned the previous year to gain deeper understanding</w:t>
            </w:r>
          </w:p>
        </w:tc>
      </w:tr>
      <w:tr w:rsidR="009461CB" w:rsidRPr="004F5AF1" w:rsidTr="009461CB">
        <w:tc>
          <w:tcPr>
            <w:tcW w:w="1548" w:type="dxa"/>
          </w:tcPr>
          <w:p w:rsidR="009461CB" w:rsidRPr="009461CB" w:rsidRDefault="009461CB" w:rsidP="009461CB">
            <w:pPr>
              <w:rPr>
                <w:sz w:val="24"/>
                <w:szCs w:val="24"/>
              </w:rPr>
            </w:pPr>
            <w:r w:rsidRPr="009461CB">
              <w:rPr>
                <w:sz w:val="24"/>
                <w:szCs w:val="24"/>
              </w:rPr>
              <w:t>3</w:t>
            </w:r>
            <w:r w:rsidRPr="009461CB">
              <w:rPr>
                <w:sz w:val="24"/>
                <w:szCs w:val="24"/>
                <w:vertAlign w:val="superscript"/>
              </w:rPr>
              <w:t>rd</w:t>
            </w:r>
            <w:r w:rsidRPr="009461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90" w:type="dxa"/>
          </w:tcPr>
          <w:p w:rsidR="008D6ADD" w:rsidRPr="008D6ADD" w:rsidRDefault="008D6ADD" w:rsidP="008D6ADD">
            <w:pPr>
              <w:rPr>
                <w:sz w:val="24"/>
              </w:rPr>
            </w:pPr>
            <w:r w:rsidRPr="008D6ADD">
              <w:rPr>
                <w:sz w:val="24"/>
              </w:rPr>
              <w:t xml:space="preserve">ELA focus – </w:t>
            </w:r>
          </w:p>
          <w:p w:rsidR="008D6ADD" w:rsidRPr="008D6ADD" w:rsidRDefault="00B561F9" w:rsidP="008D6ADD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Focusing on the Weather Unit, the team r</w:t>
            </w:r>
            <w:r w:rsidR="008D6ADD" w:rsidRPr="008D6ADD">
              <w:rPr>
                <w:sz w:val="24"/>
              </w:rPr>
              <w:t>evisited GLAD strategies that supported the new 3</w:t>
            </w:r>
            <w:r w:rsidR="008D6ADD" w:rsidRPr="008D6ADD">
              <w:rPr>
                <w:sz w:val="24"/>
                <w:vertAlign w:val="superscript"/>
              </w:rPr>
              <w:t>rd</w:t>
            </w:r>
            <w:r w:rsidR="008D6ADD" w:rsidRPr="008D6ADD">
              <w:rPr>
                <w:sz w:val="24"/>
              </w:rPr>
              <w:t xml:space="preserve"> grade close reading lessons </w:t>
            </w:r>
          </w:p>
          <w:p w:rsidR="009461CB" w:rsidRPr="008D6ADD" w:rsidRDefault="008D6ADD" w:rsidP="009461CB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 w:rsidRPr="008D6ADD">
              <w:rPr>
                <w:sz w:val="24"/>
              </w:rPr>
              <w:t>Selected strategies that would help students engage in tasks that demonstrate their thinking (citing textual evidence), integrating close reading and informational writing (2-Column notetaking from 2 different types of sources, Exit tickets)</w:t>
            </w:r>
          </w:p>
        </w:tc>
      </w:tr>
      <w:tr w:rsidR="009461CB" w:rsidRPr="004F5AF1" w:rsidTr="009461CB">
        <w:tc>
          <w:tcPr>
            <w:tcW w:w="1548" w:type="dxa"/>
          </w:tcPr>
          <w:p w:rsidR="009461CB" w:rsidRPr="00766F85" w:rsidRDefault="009461CB" w:rsidP="009461CB">
            <w:pPr>
              <w:rPr>
                <w:sz w:val="24"/>
                <w:szCs w:val="24"/>
              </w:rPr>
            </w:pPr>
            <w:r w:rsidRPr="00766F85">
              <w:rPr>
                <w:sz w:val="24"/>
                <w:szCs w:val="24"/>
              </w:rPr>
              <w:t>4</w:t>
            </w:r>
            <w:r w:rsidRPr="00766F85">
              <w:rPr>
                <w:sz w:val="24"/>
                <w:szCs w:val="24"/>
                <w:vertAlign w:val="superscript"/>
              </w:rPr>
              <w:t>th</w:t>
            </w:r>
            <w:r w:rsidRPr="00766F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90" w:type="dxa"/>
          </w:tcPr>
          <w:p w:rsidR="00766F85" w:rsidRPr="00766F85" w:rsidRDefault="00766F85" w:rsidP="00766F85">
            <w:pPr>
              <w:rPr>
                <w:sz w:val="24"/>
                <w:szCs w:val="24"/>
              </w:rPr>
            </w:pPr>
            <w:r w:rsidRPr="00766F85">
              <w:rPr>
                <w:sz w:val="24"/>
                <w:szCs w:val="24"/>
              </w:rPr>
              <w:t>Social Studies Focus-</w:t>
            </w:r>
          </w:p>
          <w:p w:rsidR="009461CB" w:rsidRPr="00766F85" w:rsidRDefault="00766F85" w:rsidP="00B561F9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66F85">
              <w:t xml:space="preserve">Created an integrated unit about Washington State history prior to </w:t>
            </w:r>
            <w:r w:rsidR="00B561F9">
              <w:t xml:space="preserve">statehood.  Fourth graders </w:t>
            </w:r>
            <w:r w:rsidRPr="00766F85">
              <w:t>form</w:t>
            </w:r>
            <w:r w:rsidR="00B561F9">
              <w:t>ed</w:t>
            </w:r>
            <w:r w:rsidRPr="00766F85">
              <w:t xml:space="preserve"> expert groups to collaboratively research and complete a process grid for various </w:t>
            </w:r>
            <w:r w:rsidR="00B561F9">
              <w:t xml:space="preserve">cultural </w:t>
            </w:r>
            <w:r w:rsidRPr="00766F85">
              <w:t>groups in Washington’s history, including coastal and plateau Native Americans, explorers, fur traders, missionari</w:t>
            </w:r>
            <w:r w:rsidR="00B561F9">
              <w:t xml:space="preserve">es and pioneers.  Students </w:t>
            </w:r>
            <w:r w:rsidRPr="00766F85">
              <w:t>develop</w:t>
            </w:r>
            <w:r w:rsidR="00B561F9">
              <w:t>ed</w:t>
            </w:r>
            <w:r w:rsidRPr="00766F85">
              <w:t xml:space="preserve"> an understanding of how each group came to Washington and why/how they adapted to the land and climate, </w:t>
            </w:r>
            <w:r w:rsidR="00B561F9">
              <w:t>the</w:t>
            </w:r>
            <w:r w:rsidRPr="00766F85">
              <w:t xml:space="preserve"> causes of conflict </w:t>
            </w:r>
            <w:r w:rsidR="00B561F9">
              <w:t xml:space="preserve">that </w:t>
            </w:r>
            <w:r w:rsidRPr="00766F85">
              <w:t>existed for each group and the lasting impact th</w:t>
            </w:r>
            <w:r w:rsidR="00B561F9">
              <w:t>ey had on our state. The focus wa</w:t>
            </w:r>
            <w:r w:rsidRPr="00766F85">
              <w:t>s on collaborative research, communication and presentation skills.   </w:t>
            </w:r>
          </w:p>
        </w:tc>
      </w:tr>
      <w:tr w:rsidR="009461CB" w:rsidRPr="004F5AF1" w:rsidTr="009461CB">
        <w:tc>
          <w:tcPr>
            <w:tcW w:w="1548" w:type="dxa"/>
          </w:tcPr>
          <w:p w:rsidR="009461CB" w:rsidRPr="009461CB" w:rsidRDefault="009461CB" w:rsidP="009461CB">
            <w:pPr>
              <w:rPr>
                <w:sz w:val="24"/>
                <w:szCs w:val="24"/>
              </w:rPr>
            </w:pPr>
            <w:r w:rsidRPr="009461CB">
              <w:rPr>
                <w:sz w:val="24"/>
                <w:szCs w:val="24"/>
              </w:rPr>
              <w:t>5</w:t>
            </w:r>
            <w:r w:rsidRPr="009461CB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090" w:type="dxa"/>
          </w:tcPr>
          <w:p w:rsidR="00630921" w:rsidRPr="00630921" w:rsidRDefault="00630921" w:rsidP="00630921">
            <w:pPr>
              <w:rPr>
                <w:sz w:val="24"/>
                <w:szCs w:val="24"/>
              </w:rPr>
            </w:pPr>
            <w:r w:rsidRPr="00630921">
              <w:rPr>
                <w:sz w:val="24"/>
                <w:szCs w:val="24"/>
              </w:rPr>
              <w:t xml:space="preserve">ELA focus – </w:t>
            </w:r>
          </w:p>
          <w:p w:rsidR="00B561F9" w:rsidRDefault="00B561F9" w:rsidP="00630921">
            <w:pPr>
              <w:pStyle w:val="ListParagraph"/>
              <w:numPr>
                <w:ilvl w:val="0"/>
                <w:numId w:val="8"/>
              </w:numPr>
            </w:pPr>
            <w:r>
              <w:t>Created plans to i</w:t>
            </w:r>
            <w:r w:rsidRPr="00630921">
              <w:t xml:space="preserve">ntegrate </w:t>
            </w:r>
            <w:r>
              <w:t xml:space="preserve">GLAD strategies into the social studies </w:t>
            </w:r>
            <w:proofErr w:type="spellStart"/>
            <w:r w:rsidRPr="00630921">
              <w:t>Storypath</w:t>
            </w:r>
            <w:proofErr w:type="spellEnd"/>
            <w:r w:rsidRPr="00630921">
              <w:t xml:space="preserve"> unit: </w:t>
            </w:r>
            <w:r w:rsidRPr="00B561F9">
              <w:rPr>
                <w:i/>
              </w:rPr>
              <w:t>The Struggle for Independence in Colonial Boston</w:t>
            </w:r>
            <w:r w:rsidRPr="00630921">
              <w:t xml:space="preserve"> (CCD, Process Grid, chants, etc.)</w:t>
            </w:r>
            <w:r>
              <w:t xml:space="preserve"> </w:t>
            </w:r>
          </w:p>
          <w:p w:rsidR="00630921" w:rsidRPr="00630921" w:rsidRDefault="00B561F9" w:rsidP="00630921">
            <w:pPr>
              <w:pStyle w:val="ListParagraph"/>
              <w:numPr>
                <w:ilvl w:val="0"/>
                <w:numId w:val="8"/>
              </w:numPr>
            </w:pPr>
            <w:r>
              <w:t xml:space="preserve">Expanded </w:t>
            </w:r>
            <w:r w:rsidR="00630921" w:rsidRPr="00630921">
              <w:t xml:space="preserve">GLAD strategies into </w:t>
            </w:r>
            <w:r>
              <w:t xml:space="preserve">the new </w:t>
            </w:r>
            <w:r w:rsidR="00630921" w:rsidRPr="00630921">
              <w:t>CIA units and close reading lessons</w:t>
            </w:r>
          </w:p>
          <w:p w:rsidR="009461CB" w:rsidRPr="00B561F9" w:rsidRDefault="00B561F9" w:rsidP="00B561F9">
            <w:pPr>
              <w:pStyle w:val="ListParagraph"/>
              <w:numPr>
                <w:ilvl w:val="0"/>
                <w:numId w:val="8"/>
              </w:numPr>
            </w:pPr>
            <w:r>
              <w:t xml:space="preserve">Focused on </w:t>
            </w:r>
            <w:r w:rsidR="00630921" w:rsidRPr="00630921">
              <w:t xml:space="preserve">strategies </w:t>
            </w:r>
            <w:r>
              <w:t xml:space="preserve">that </w:t>
            </w:r>
            <w:r w:rsidR="00630921" w:rsidRPr="00630921">
              <w:t>hel</w:t>
            </w:r>
            <w:r>
              <w:t>p</w:t>
            </w:r>
            <w:r w:rsidR="00630921" w:rsidRPr="00630921">
              <w:t xml:space="preserve"> students demonstrate their thinking, verbally and written (citing textual evidence), integrating close reading and informational writing (2 – column notetaking, process grid, expert groups)</w:t>
            </w:r>
          </w:p>
        </w:tc>
      </w:tr>
    </w:tbl>
    <w:p w:rsidR="004F5AF1" w:rsidRPr="004F5AF1" w:rsidRDefault="004F5AF1" w:rsidP="009461CB">
      <w:pPr>
        <w:rPr>
          <w:sz w:val="20"/>
          <w:szCs w:val="20"/>
        </w:rPr>
      </w:pPr>
    </w:p>
    <w:sectPr w:rsidR="004F5AF1" w:rsidRPr="004F5AF1" w:rsidSect="004F5A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B7B36"/>
    <w:multiLevelType w:val="hybridMultilevel"/>
    <w:tmpl w:val="0E24D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06BA0"/>
    <w:multiLevelType w:val="hybridMultilevel"/>
    <w:tmpl w:val="FD38D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B54A6"/>
    <w:multiLevelType w:val="hybridMultilevel"/>
    <w:tmpl w:val="C91A9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44CE5"/>
    <w:multiLevelType w:val="hybridMultilevel"/>
    <w:tmpl w:val="820C9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718BF"/>
    <w:multiLevelType w:val="hybridMultilevel"/>
    <w:tmpl w:val="6382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D32A0"/>
    <w:multiLevelType w:val="hybridMultilevel"/>
    <w:tmpl w:val="C5E0D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755776"/>
    <w:multiLevelType w:val="hybridMultilevel"/>
    <w:tmpl w:val="D4A6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0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AF1"/>
    <w:rsid w:val="00011B16"/>
    <w:rsid w:val="00087F53"/>
    <w:rsid w:val="000F59F7"/>
    <w:rsid w:val="001151BE"/>
    <w:rsid w:val="00252781"/>
    <w:rsid w:val="00297768"/>
    <w:rsid w:val="002D3D35"/>
    <w:rsid w:val="003C2B51"/>
    <w:rsid w:val="003C416B"/>
    <w:rsid w:val="00481CA6"/>
    <w:rsid w:val="004C2D28"/>
    <w:rsid w:val="004F5AF1"/>
    <w:rsid w:val="00544995"/>
    <w:rsid w:val="0057302B"/>
    <w:rsid w:val="00617679"/>
    <w:rsid w:val="00630921"/>
    <w:rsid w:val="00655230"/>
    <w:rsid w:val="006A04DC"/>
    <w:rsid w:val="006C574E"/>
    <w:rsid w:val="00723319"/>
    <w:rsid w:val="00766F85"/>
    <w:rsid w:val="007D1F73"/>
    <w:rsid w:val="007F4ED4"/>
    <w:rsid w:val="008013B9"/>
    <w:rsid w:val="00821815"/>
    <w:rsid w:val="008A1BC4"/>
    <w:rsid w:val="008D6ADD"/>
    <w:rsid w:val="008E07AF"/>
    <w:rsid w:val="00911839"/>
    <w:rsid w:val="009461CB"/>
    <w:rsid w:val="0095191F"/>
    <w:rsid w:val="00A90061"/>
    <w:rsid w:val="00A963FD"/>
    <w:rsid w:val="00B313BC"/>
    <w:rsid w:val="00B561F9"/>
    <w:rsid w:val="00BB542A"/>
    <w:rsid w:val="00C27D13"/>
    <w:rsid w:val="00C915A4"/>
    <w:rsid w:val="00C93802"/>
    <w:rsid w:val="00D710A5"/>
    <w:rsid w:val="00E11929"/>
    <w:rsid w:val="00ED446A"/>
    <w:rsid w:val="00F458B9"/>
    <w:rsid w:val="00FA49E8"/>
    <w:rsid w:val="00FD09E3"/>
    <w:rsid w:val="00FE5E35"/>
    <w:rsid w:val="00FF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10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1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0436">
              <w:marLeft w:val="0"/>
              <w:marRight w:val="0"/>
              <w:marTop w:val="3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4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4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85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32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7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72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647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612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251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Gajda,  Heather</dc:creator>
  <cp:lastModifiedBy>Jones, Dr.</cp:lastModifiedBy>
  <cp:revision>2</cp:revision>
  <dcterms:created xsi:type="dcterms:W3CDTF">2016-01-25T17:25:00Z</dcterms:created>
  <dcterms:modified xsi:type="dcterms:W3CDTF">2016-01-25T17:25:00Z</dcterms:modified>
</cp:coreProperties>
</file>