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70" w:type="dxa"/>
        <w:tblInd w:w="-69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7290"/>
        <w:gridCol w:w="5760"/>
      </w:tblGrid>
      <w:tr w:rsidR="00DD4FA0" w:rsidRPr="00D24E44" w:rsidTr="00476098">
        <w:trPr>
          <w:trHeight w:val="703"/>
          <w:tblHeader/>
        </w:trPr>
        <w:tc>
          <w:tcPr>
            <w:tcW w:w="16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422543" w:rsidP="00DD4FA0">
            <w:pPr>
              <w:keepNext/>
              <w:keepLines/>
              <w:outlineLvl w:val="1"/>
              <w:rPr>
                <w:rFonts w:ascii="Georgia" w:eastAsiaTheme="majorEastAsia" w:hAnsi="Georgia" w:cstheme="majorBidi"/>
                <w:b/>
                <w:bCs/>
                <w:sz w:val="18"/>
                <w:szCs w:val="18"/>
              </w:rPr>
            </w:pPr>
            <w:r w:rsidRPr="00D24E4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18749B35" wp14:editId="4C730E8E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-1143000</wp:posOffset>
                  </wp:positionV>
                  <wp:extent cx="1813560" cy="777240"/>
                  <wp:effectExtent l="0" t="0" r="0" b="3810"/>
                  <wp:wrapNone/>
                  <wp:docPr id="1" name="Picture 1" descr="EPS-Primary-Logo-CMYK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S-Primary-Logo-CMYK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4FA0" w:rsidRPr="00D24E44">
              <w:rPr>
                <w:rFonts w:ascii="Georgia" w:eastAsiaTheme="majorEastAsia" w:hAnsi="Georgia" w:cstheme="majorBidi"/>
                <w:b/>
                <w:bCs/>
                <w:sz w:val="18"/>
                <w:szCs w:val="18"/>
              </w:rPr>
              <w:t>Strategic Plan Reference</w:t>
            </w:r>
          </w:p>
        </w:tc>
        <w:tc>
          <w:tcPr>
            <w:tcW w:w="729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73275" w:rsidP="00DD4FA0">
            <w:pPr>
              <w:keepNext/>
              <w:keepLines/>
              <w:outlineLvl w:val="1"/>
              <w:rPr>
                <w:rFonts w:ascii="Georgia" w:eastAsiaTheme="majorEastAsia" w:hAnsi="Georgia" w:cstheme="majorBidi"/>
                <w:b/>
                <w:bCs/>
                <w:sz w:val="18"/>
                <w:szCs w:val="18"/>
              </w:rPr>
            </w:pPr>
            <w:r w:rsidRPr="00D24E44">
              <w:rPr>
                <w:rFonts w:ascii="Georgia" w:eastAsiaTheme="majorEastAsia" w:hAnsi="Georgia" w:cstheme="majorBidi"/>
                <w:b/>
                <w:bCs/>
                <w:sz w:val="18"/>
                <w:szCs w:val="18"/>
              </w:rPr>
              <w:t>Reading Action Item</w:t>
            </w:r>
            <w:r w:rsidR="00DD4FA0" w:rsidRPr="00D24E44">
              <w:rPr>
                <w:rFonts w:ascii="Georgia" w:eastAsiaTheme="majorEastAsia" w:hAnsi="Georgia" w:cstheme="majorBidi"/>
                <w:b/>
                <w:bCs/>
                <w:sz w:val="18"/>
                <w:szCs w:val="18"/>
              </w:rPr>
              <w:t xml:space="preserve"> </w:t>
            </w:r>
          </w:p>
          <w:p w:rsidR="00DD4FA0" w:rsidRPr="00D24E44" w:rsidRDefault="00DD4FA0" w:rsidP="00DD4FA0">
            <w:pPr>
              <w:keepNext/>
              <w:keepLines/>
              <w:outlineLvl w:val="1"/>
              <w:rPr>
                <w:rFonts w:ascii="Georgia" w:eastAsiaTheme="majorEastAsia" w:hAnsi="Georgia" w:cstheme="majorBidi"/>
                <w:bCs/>
                <w:sz w:val="18"/>
                <w:szCs w:val="18"/>
              </w:rPr>
            </w:pPr>
            <w:r w:rsidRPr="00D24E44">
              <w:rPr>
                <w:rFonts w:ascii="Georgia" w:eastAsiaTheme="majorEastAsia" w:hAnsi="Georgia" w:cstheme="majorBidi"/>
                <w:bCs/>
                <w:sz w:val="18"/>
                <w:szCs w:val="18"/>
              </w:rPr>
              <w:t xml:space="preserve">(Actions that </w:t>
            </w:r>
            <w:r w:rsidRPr="00D24E44">
              <w:rPr>
                <w:rFonts w:ascii="Georgia" w:eastAsiaTheme="majorEastAsia" w:hAnsi="Georgia" w:cstheme="majorBidi"/>
                <w:b/>
                <w:bCs/>
                <w:sz w:val="18"/>
                <w:szCs w:val="18"/>
              </w:rPr>
              <w:t>improve</w:t>
            </w:r>
            <w:r w:rsidRPr="00D24E44">
              <w:rPr>
                <w:rFonts w:ascii="Georgia" w:eastAsiaTheme="majorEastAsia" w:hAnsi="Georgia" w:cstheme="majorBidi"/>
                <w:bCs/>
                <w:sz w:val="18"/>
                <w:szCs w:val="18"/>
              </w:rPr>
              <w:t xml:space="preserve"> performance towards outcomes)</w:t>
            </w:r>
          </w:p>
          <w:p w:rsidR="00DD4FA0" w:rsidRPr="00D24E44" w:rsidRDefault="00DD4FA0" w:rsidP="00DD4FA0">
            <w:pPr>
              <w:keepNext/>
              <w:keepLines/>
              <w:outlineLvl w:val="1"/>
              <w:rPr>
                <w:rFonts w:ascii="Georgia" w:eastAsiaTheme="majorEastAsia" w:hAnsi="Georgia" w:cstheme="majorBidi"/>
                <w:bCs/>
                <w:sz w:val="18"/>
                <w:szCs w:val="18"/>
              </w:rPr>
            </w:pPr>
            <w:r w:rsidRPr="00D24E44">
              <w:rPr>
                <w:rFonts w:ascii="Georgia" w:eastAsiaTheme="majorEastAsia" w:hAnsi="Georgia" w:cstheme="majorBidi"/>
                <w:bCs/>
                <w:sz w:val="18"/>
                <w:szCs w:val="18"/>
              </w:rPr>
              <w:t>What are you going to do?</w:t>
            </w:r>
          </w:p>
        </w:tc>
        <w:tc>
          <w:tcPr>
            <w:tcW w:w="576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DD4FA0">
            <w:pPr>
              <w:keepNext/>
              <w:keepLines/>
              <w:outlineLvl w:val="1"/>
              <w:rPr>
                <w:rFonts w:ascii="Georgia" w:eastAsiaTheme="majorEastAsia" w:hAnsi="Georgia" w:cstheme="majorBidi"/>
                <w:b/>
                <w:bCs/>
                <w:sz w:val="18"/>
                <w:szCs w:val="18"/>
              </w:rPr>
            </w:pPr>
            <w:r w:rsidRPr="00D24E44">
              <w:rPr>
                <w:rFonts w:ascii="Georgia" w:eastAsiaTheme="majorEastAsia" w:hAnsi="Georgia" w:cstheme="majorBidi"/>
                <w:b/>
                <w:bCs/>
                <w:sz w:val="18"/>
                <w:szCs w:val="18"/>
              </w:rPr>
              <w:t xml:space="preserve">Key Performance Indicators (KPIs) </w:t>
            </w:r>
          </w:p>
          <w:p w:rsidR="00DD4FA0" w:rsidRPr="00D24E44" w:rsidRDefault="00DD4FA0" w:rsidP="00DD4FA0">
            <w:pPr>
              <w:keepNext/>
              <w:keepLines/>
              <w:outlineLvl w:val="1"/>
              <w:rPr>
                <w:rFonts w:ascii="Georgia" w:eastAsiaTheme="majorEastAsia" w:hAnsi="Georgia" w:cstheme="majorBidi"/>
                <w:bCs/>
                <w:sz w:val="18"/>
                <w:szCs w:val="18"/>
              </w:rPr>
            </w:pPr>
            <w:r w:rsidRPr="00D24E44">
              <w:rPr>
                <w:rFonts w:ascii="Georgia" w:eastAsiaTheme="majorEastAsia" w:hAnsi="Georgia" w:cstheme="majorBidi"/>
                <w:bCs/>
                <w:sz w:val="18"/>
                <w:szCs w:val="18"/>
              </w:rPr>
              <w:t>(Formative measures of actions)</w:t>
            </w:r>
          </w:p>
          <w:p w:rsidR="00DD4FA0" w:rsidRPr="00D24E44" w:rsidRDefault="00DD4FA0" w:rsidP="00DD4FA0">
            <w:pPr>
              <w:keepNext/>
              <w:keepLines/>
              <w:outlineLvl w:val="1"/>
              <w:rPr>
                <w:rFonts w:ascii="Georgia" w:eastAsiaTheme="majorEastAsia" w:hAnsi="Georgia" w:cstheme="majorBidi"/>
                <w:bCs/>
                <w:sz w:val="18"/>
                <w:szCs w:val="18"/>
              </w:rPr>
            </w:pPr>
            <w:r w:rsidRPr="00D24E44">
              <w:rPr>
                <w:rFonts w:ascii="Georgia" w:eastAsiaTheme="majorEastAsia" w:hAnsi="Georgia" w:cstheme="majorBidi"/>
                <w:bCs/>
                <w:sz w:val="18"/>
                <w:szCs w:val="18"/>
              </w:rPr>
              <w:t>How will you know if this action is effective?</w:t>
            </w:r>
          </w:p>
        </w:tc>
      </w:tr>
      <w:tr w:rsidR="00DD4FA0" w:rsidRPr="00D24E44" w:rsidTr="00783B73">
        <w:trPr>
          <w:trHeight w:val="144"/>
        </w:trPr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DD4FA0">
            <w:p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TL 1.3.a</w:t>
            </w:r>
          </w:p>
        </w:tc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DD4FA0">
            <w:pPr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Model and instruct students in the use of close reading strategies and academic discourse to analyze complex texts related to core content across the curriculum. These strategies include: text annotation, Socratic seminar, structured note-taking, summarizing, comparing multiple texts.</w:t>
            </w:r>
          </w:p>
        </w:tc>
        <w:tc>
          <w:tcPr>
            <w:tcW w:w="57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DD4FA0">
            <w:pPr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Student work samples</w:t>
            </w:r>
          </w:p>
          <w:p w:rsidR="00DD4FA0" w:rsidRPr="00D24E44" w:rsidRDefault="00DD4FA0" w:rsidP="00DD4FA0">
            <w:pPr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Walkthrough notes</w:t>
            </w:r>
          </w:p>
          <w:p w:rsidR="00DD4FA0" w:rsidRPr="00D24E44" w:rsidRDefault="00DD4FA0" w:rsidP="00DD4FA0">
            <w:pPr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LIF notes regarding shared close reading strategies</w:t>
            </w:r>
          </w:p>
          <w:p w:rsidR="00DD4FA0" w:rsidRPr="00D24E44" w:rsidRDefault="00DD4FA0" w:rsidP="00DD4FA0">
            <w:pPr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Short cycle assessments show growth in reading comprehension</w:t>
            </w:r>
          </w:p>
        </w:tc>
      </w:tr>
    </w:tbl>
    <w:tbl>
      <w:tblPr>
        <w:tblStyle w:val="TableGrid1"/>
        <w:tblW w:w="14670" w:type="dxa"/>
        <w:tblInd w:w="-69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7290"/>
        <w:gridCol w:w="5760"/>
      </w:tblGrid>
      <w:tr w:rsidR="00DD4FA0" w:rsidRPr="00D24E44" w:rsidTr="00783B73">
        <w:trPr>
          <w:tblHeader/>
        </w:trPr>
        <w:tc>
          <w:tcPr>
            <w:tcW w:w="16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E83331">
            <w:pPr>
              <w:pStyle w:val="Heading2"/>
              <w:outlineLvl w:val="1"/>
              <w:rPr>
                <w:rFonts w:ascii="Georgia" w:hAnsi="Georgia"/>
                <w:b/>
                <w:sz w:val="18"/>
                <w:szCs w:val="18"/>
              </w:rPr>
            </w:pPr>
            <w:r w:rsidRPr="00D24E44">
              <w:rPr>
                <w:rFonts w:ascii="Georgia" w:hAnsi="Georgia"/>
                <w:b/>
                <w:sz w:val="18"/>
                <w:szCs w:val="18"/>
              </w:rPr>
              <w:t>Strategic Plan Reference</w:t>
            </w:r>
          </w:p>
        </w:tc>
        <w:tc>
          <w:tcPr>
            <w:tcW w:w="729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E83331">
            <w:pPr>
              <w:pStyle w:val="Heading2"/>
              <w:outlineLvl w:val="1"/>
              <w:rPr>
                <w:rFonts w:ascii="Georgia" w:hAnsi="Georgia"/>
                <w:b/>
                <w:sz w:val="18"/>
                <w:szCs w:val="18"/>
              </w:rPr>
            </w:pPr>
            <w:r w:rsidRPr="00D24E44">
              <w:rPr>
                <w:rFonts w:ascii="Georgia" w:hAnsi="Georgia"/>
                <w:b/>
                <w:sz w:val="18"/>
                <w:szCs w:val="18"/>
              </w:rPr>
              <w:t xml:space="preserve">Writing </w:t>
            </w:r>
            <w:r w:rsidR="00D73275" w:rsidRPr="00D24E44">
              <w:rPr>
                <w:rFonts w:ascii="Georgia" w:hAnsi="Georgia"/>
                <w:b/>
                <w:sz w:val="18"/>
                <w:szCs w:val="18"/>
              </w:rPr>
              <w:t>Action Item</w:t>
            </w:r>
          </w:p>
          <w:p w:rsidR="00DD4FA0" w:rsidRPr="00D24E44" w:rsidRDefault="00DD4FA0" w:rsidP="00E83331">
            <w:pPr>
              <w:pStyle w:val="Heading2"/>
              <w:outlineLvl w:val="1"/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 xml:space="preserve">(Actions that </w:t>
            </w:r>
            <w:r w:rsidRPr="00D24E44">
              <w:rPr>
                <w:rFonts w:ascii="Georgia" w:hAnsi="Georgia"/>
                <w:b/>
                <w:sz w:val="18"/>
                <w:szCs w:val="18"/>
              </w:rPr>
              <w:t>improve</w:t>
            </w:r>
            <w:r w:rsidRPr="00D24E44">
              <w:rPr>
                <w:rFonts w:ascii="Georgia" w:hAnsi="Georgia"/>
                <w:sz w:val="18"/>
                <w:szCs w:val="18"/>
              </w:rPr>
              <w:t xml:space="preserve"> performance towards outcomes)</w:t>
            </w:r>
          </w:p>
          <w:p w:rsidR="00DD4FA0" w:rsidRPr="00D24E44" w:rsidRDefault="00DD4FA0" w:rsidP="00E83331">
            <w:pPr>
              <w:pStyle w:val="Heading2"/>
              <w:outlineLvl w:val="1"/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What are you going to do?</w:t>
            </w:r>
          </w:p>
        </w:tc>
        <w:tc>
          <w:tcPr>
            <w:tcW w:w="576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E83331">
            <w:pPr>
              <w:pStyle w:val="Heading2"/>
              <w:outlineLvl w:val="1"/>
              <w:rPr>
                <w:rFonts w:ascii="Georgia" w:hAnsi="Georgia"/>
                <w:b/>
                <w:sz w:val="18"/>
                <w:szCs w:val="18"/>
              </w:rPr>
            </w:pPr>
            <w:r w:rsidRPr="00D24E44">
              <w:rPr>
                <w:rFonts w:ascii="Georgia" w:hAnsi="Georgia"/>
                <w:b/>
                <w:sz w:val="18"/>
                <w:szCs w:val="18"/>
              </w:rPr>
              <w:t xml:space="preserve">Key Performance Indicators (KPIs) </w:t>
            </w:r>
          </w:p>
          <w:p w:rsidR="00DD4FA0" w:rsidRPr="00D24E44" w:rsidRDefault="00DD4FA0" w:rsidP="00E83331">
            <w:pPr>
              <w:pStyle w:val="Heading2"/>
              <w:outlineLvl w:val="1"/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(Formative measures of actions)</w:t>
            </w:r>
          </w:p>
          <w:p w:rsidR="00DD4FA0" w:rsidRPr="00D24E44" w:rsidRDefault="00DD4FA0" w:rsidP="00E83331">
            <w:pPr>
              <w:pStyle w:val="Heading2"/>
              <w:outlineLvl w:val="1"/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How will you know if this action is effective?</w:t>
            </w:r>
          </w:p>
        </w:tc>
      </w:tr>
      <w:tr w:rsidR="00DD4FA0" w:rsidRPr="00D24E44" w:rsidTr="00783B73">
        <w:trPr>
          <w:trHeight w:val="144"/>
        </w:trPr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E83331">
            <w:p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TL 1.3.a</w:t>
            </w:r>
          </w:p>
        </w:tc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DD4FA0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Provide daily opportunities for students to write and speak using evidence from texts to develop well-defended claims, present careful analyses, and provide clear information and accurate summaries.</w:t>
            </w:r>
          </w:p>
        </w:tc>
        <w:tc>
          <w:tcPr>
            <w:tcW w:w="57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DD4FA0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 xml:space="preserve">Evidence of use of structured writing systems such as Jane Schaeffer in walkthrough notes and student work samples. </w:t>
            </w:r>
          </w:p>
          <w:p w:rsidR="00DD4FA0" w:rsidRPr="00D24E44" w:rsidRDefault="00DD4FA0" w:rsidP="00DD4FA0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 xml:space="preserve">Common written assessments across content areas </w:t>
            </w:r>
          </w:p>
        </w:tc>
      </w:tr>
    </w:tbl>
    <w:tbl>
      <w:tblPr>
        <w:tblStyle w:val="TableGrid2"/>
        <w:tblW w:w="14670" w:type="dxa"/>
        <w:tblInd w:w="-69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7290"/>
        <w:gridCol w:w="5760"/>
      </w:tblGrid>
      <w:tr w:rsidR="00DD4FA0" w:rsidRPr="00D24E44" w:rsidTr="00783B73">
        <w:trPr>
          <w:tblHeader/>
        </w:trPr>
        <w:tc>
          <w:tcPr>
            <w:tcW w:w="16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E83331">
            <w:pPr>
              <w:pStyle w:val="Heading2"/>
              <w:outlineLvl w:val="1"/>
              <w:rPr>
                <w:rFonts w:ascii="Georgia" w:hAnsi="Georgia"/>
                <w:b/>
                <w:sz w:val="18"/>
                <w:szCs w:val="18"/>
              </w:rPr>
            </w:pPr>
            <w:r w:rsidRPr="00D24E44">
              <w:rPr>
                <w:rFonts w:ascii="Georgia" w:hAnsi="Georgia"/>
                <w:b/>
                <w:sz w:val="18"/>
                <w:szCs w:val="18"/>
              </w:rPr>
              <w:t>Strategic Plan Reference</w:t>
            </w:r>
          </w:p>
        </w:tc>
        <w:tc>
          <w:tcPr>
            <w:tcW w:w="729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E83331">
            <w:pPr>
              <w:pStyle w:val="Heading2"/>
              <w:outlineLvl w:val="1"/>
              <w:rPr>
                <w:rFonts w:ascii="Georgia" w:hAnsi="Georgia"/>
                <w:b/>
                <w:sz w:val="18"/>
                <w:szCs w:val="18"/>
              </w:rPr>
            </w:pPr>
            <w:r w:rsidRPr="00D24E44">
              <w:rPr>
                <w:rFonts w:ascii="Georgia" w:hAnsi="Georgia"/>
                <w:b/>
                <w:sz w:val="18"/>
                <w:szCs w:val="18"/>
              </w:rPr>
              <w:t xml:space="preserve">Math </w:t>
            </w:r>
            <w:r w:rsidR="00D73275" w:rsidRPr="00D24E44">
              <w:rPr>
                <w:rFonts w:ascii="Georgia" w:hAnsi="Georgia"/>
                <w:b/>
                <w:sz w:val="18"/>
                <w:szCs w:val="18"/>
              </w:rPr>
              <w:t>Action Item</w:t>
            </w:r>
          </w:p>
          <w:p w:rsidR="00DD4FA0" w:rsidRPr="00D24E44" w:rsidRDefault="00DD4FA0" w:rsidP="00E83331">
            <w:pPr>
              <w:pStyle w:val="Heading2"/>
              <w:outlineLvl w:val="1"/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 xml:space="preserve">(Actions that </w:t>
            </w:r>
            <w:r w:rsidRPr="00D24E44">
              <w:rPr>
                <w:rFonts w:ascii="Georgia" w:hAnsi="Georgia"/>
                <w:b/>
                <w:sz w:val="18"/>
                <w:szCs w:val="18"/>
              </w:rPr>
              <w:t>improve</w:t>
            </w:r>
            <w:r w:rsidRPr="00D24E44">
              <w:rPr>
                <w:rFonts w:ascii="Georgia" w:hAnsi="Georgia"/>
                <w:sz w:val="18"/>
                <w:szCs w:val="18"/>
              </w:rPr>
              <w:t xml:space="preserve"> performance towards outcomes)</w:t>
            </w:r>
          </w:p>
          <w:p w:rsidR="00DD4FA0" w:rsidRPr="00D24E44" w:rsidRDefault="00DD4FA0" w:rsidP="00E83331">
            <w:pPr>
              <w:pStyle w:val="Heading2"/>
              <w:outlineLvl w:val="1"/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What are you going to do?</w:t>
            </w:r>
          </w:p>
        </w:tc>
        <w:tc>
          <w:tcPr>
            <w:tcW w:w="576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E83331">
            <w:pPr>
              <w:pStyle w:val="Heading2"/>
              <w:outlineLvl w:val="1"/>
              <w:rPr>
                <w:rFonts w:ascii="Georgia" w:hAnsi="Georgia"/>
                <w:b/>
                <w:sz w:val="18"/>
                <w:szCs w:val="18"/>
              </w:rPr>
            </w:pPr>
            <w:r w:rsidRPr="00D24E44">
              <w:rPr>
                <w:rFonts w:ascii="Georgia" w:hAnsi="Georgia"/>
                <w:b/>
                <w:sz w:val="18"/>
                <w:szCs w:val="18"/>
              </w:rPr>
              <w:t xml:space="preserve">Key Performance Indicators (KPIs) </w:t>
            </w:r>
          </w:p>
          <w:p w:rsidR="00DD4FA0" w:rsidRPr="00D24E44" w:rsidRDefault="00DD4FA0" w:rsidP="00E83331">
            <w:pPr>
              <w:pStyle w:val="Heading2"/>
              <w:outlineLvl w:val="1"/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(Formative measures of actions)</w:t>
            </w:r>
          </w:p>
          <w:p w:rsidR="00DD4FA0" w:rsidRPr="00D24E44" w:rsidRDefault="00DD4FA0" w:rsidP="00E83331">
            <w:pPr>
              <w:pStyle w:val="Heading2"/>
              <w:outlineLvl w:val="1"/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How will you know if this action is effective?</w:t>
            </w:r>
          </w:p>
        </w:tc>
      </w:tr>
      <w:tr w:rsidR="00DD4FA0" w:rsidRPr="00D24E44" w:rsidTr="00783B73">
        <w:trPr>
          <w:trHeight w:val="144"/>
        </w:trPr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E83331">
            <w:p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TL 1.3.a</w:t>
            </w:r>
          </w:p>
        </w:tc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DD4FA0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 xml:space="preserve">Build academic confidence and teach productive struggle freshman through senior year by building growth mindset, using AVID tutorials, Cornell notes, interactive notebooks and other WICOR strategies (Writing, Inquiry, Collaboration, Organization, </w:t>
            </w:r>
            <w:proofErr w:type="gramStart"/>
            <w:r w:rsidRPr="00D24E44">
              <w:rPr>
                <w:rFonts w:ascii="Georgia" w:hAnsi="Georgia"/>
                <w:sz w:val="18"/>
                <w:szCs w:val="18"/>
              </w:rPr>
              <w:t>Reading</w:t>
            </w:r>
            <w:proofErr w:type="gramEnd"/>
            <w:r w:rsidRPr="00D24E44">
              <w:rPr>
                <w:rFonts w:ascii="Georgia" w:hAnsi="Georgia"/>
                <w:sz w:val="18"/>
                <w:szCs w:val="18"/>
              </w:rPr>
              <w:t>).</w:t>
            </w:r>
          </w:p>
        </w:tc>
        <w:tc>
          <w:tcPr>
            <w:tcW w:w="57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DD4FA0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Notes from walkthroughs of classrooms demonstrate evidence of strategies implemented</w:t>
            </w:r>
          </w:p>
          <w:p w:rsidR="00DD4FA0" w:rsidRPr="00D24E44" w:rsidRDefault="00DD4FA0" w:rsidP="00DD4FA0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Passing rates at each level in math</w:t>
            </w:r>
          </w:p>
          <w:p w:rsidR="00DD4FA0" w:rsidRPr="00D24E44" w:rsidRDefault="00DD4FA0" w:rsidP="00DD4FA0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Results of common unit assessments in Math</w:t>
            </w:r>
          </w:p>
        </w:tc>
      </w:tr>
    </w:tbl>
    <w:tbl>
      <w:tblPr>
        <w:tblStyle w:val="TableGrid3"/>
        <w:tblW w:w="14670" w:type="dxa"/>
        <w:tblInd w:w="-69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7290"/>
        <w:gridCol w:w="5760"/>
      </w:tblGrid>
      <w:tr w:rsidR="00DD4FA0" w:rsidRPr="00D24E44" w:rsidTr="00783B73">
        <w:trPr>
          <w:tblHeader/>
        </w:trPr>
        <w:tc>
          <w:tcPr>
            <w:tcW w:w="16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E83331">
            <w:pPr>
              <w:rPr>
                <w:rFonts w:ascii="Georgia" w:hAnsi="Georgia"/>
                <w:b/>
                <w:sz w:val="18"/>
                <w:szCs w:val="18"/>
              </w:rPr>
            </w:pPr>
            <w:r w:rsidRPr="00D24E44">
              <w:rPr>
                <w:rFonts w:ascii="Georgia" w:hAnsi="Georgia"/>
                <w:b/>
                <w:sz w:val="18"/>
                <w:szCs w:val="18"/>
              </w:rPr>
              <w:t>Strategic Plan Reference</w:t>
            </w:r>
          </w:p>
        </w:tc>
        <w:tc>
          <w:tcPr>
            <w:tcW w:w="729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73275" w:rsidP="00E83331">
            <w:pPr>
              <w:rPr>
                <w:rFonts w:ascii="Georgia" w:hAnsi="Georgia"/>
                <w:b/>
                <w:sz w:val="18"/>
                <w:szCs w:val="18"/>
              </w:rPr>
            </w:pPr>
            <w:r w:rsidRPr="00D24E44">
              <w:rPr>
                <w:rFonts w:ascii="Georgia" w:hAnsi="Georgia"/>
                <w:b/>
                <w:sz w:val="18"/>
                <w:szCs w:val="18"/>
              </w:rPr>
              <w:t>Science Action Item</w:t>
            </w:r>
            <w:r w:rsidR="00DD4FA0" w:rsidRPr="00D24E44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DD4FA0" w:rsidRPr="00D24E44" w:rsidRDefault="00DD4FA0" w:rsidP="00E83331">
            <w:p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(Actions that improve performance towards outcomes)</w:t>
            </w:r>
          </w:p>
          <w:p w:rsidR="00DD4FA0" w:rsidRPr="00D24E44" w:rsidRDefault="00DD4FA0" w:rsidP="00E83331">
            <w:p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What are you going to do?</w:t>
            </w:r>
          </w:p>
        </w:tc>
        <w:tc>
          <w:tcPr>
            <w:tcW w:w="576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E83331">
            <w:pPr>
              <w:rPr>
                <w:rFonts w:ascii="Georgia" w:hAnsi="Georgia"/>
                <w:b/>
                <w:sz w:val="18"/>
                <w:szCs w:val="18"/>
              </w:rPr>
            </w:pPr>
            <w:r w:rsidRPr="00D24E44">
              <w:rPr>
                <w:rFonts w:ascii="Georgia" w:hAnsi="Georgia"/>
                <w:b/>
                <w:sz w:val="18"/>
                <w:szCs w:val="18"/>
              </w:rPr>
              <w:t xml:space="preserve">Key Performance Indicators (KPIs) </w:t>
            </w:r>
          </w:p>
          <w:p w:rsidR="00DD4FA0" w:rsidRPr="00D24E44" w:rsidRDefault="00DD4FA0" w:rsidP="00E83331">
            <w:p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(Formative measures of actions)</w:t>
            </w:r>
          </w:p>
          <w:p w:rsidR="00DD4FA0" w:rsidRPr="00D24E44" w:rsidRDefault="00DD4FA0" w:rsidP="00E83331">
            <w:p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How will you know if this action is effective?</w:t>
            </w:r>
          </w:p>
        </w:tc>
      </w:tr>
    </w:tbl>
    <w:tbl>
      <w:tblPr>
        <w:tblStyle w:val="TableGrid4"/>
        <w:tblW w:w="14670" w:type="dxa"/>
        <w:tblInd w:w="-6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7290"/>
        <w:gridCol w:w="5760"/>
      </w:tblGrid>
      <w:tr w:rsidR="00DD4FA0" w:rsidRPr="00D24E44" w:rsidTr="00783B73">
        <w:trPr>
          <w:trHeight w:val="523"/>
        </w:trPr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E8333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TL 1.2.b</w:t>
            </w:r>
          </w:p>
        </w:tc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DD4FA0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Create common assessments from common lessons, share common assessment results, analyze student responses, and identify evidence of student learning and next steps for re-teaching or enrichment.</w:t>
            </w:r>
          </w:p>
        </w:tc>
        <w:tc>
          <w:tcPr>
            <w:tcW w:w="57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4FA0" w:rsidRPr="00D24E44" w:rsidRDefault="00DD4FA0" w:rsidP="00DD4FA0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Minutes from collaborative team meetings</w:t>
            </w:r>
          </w:p>
          <w:p w:rsidR="00DD4FA0" w:rsidRPr="00D24E44" w:rsidRDefault="00DD4FA0" w:rsidP="00DD4FA0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Common assessment results</w:t>
            </w:r>
          </w:p>
          <w:p w:rsidR="00DD4FA0" w:rsidRPr="00D24E44" w:rsidRDefault="00DD4FA0" w:rsidP="00DD4FA0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D24E44">
              <w:rPr>
                <w:rFonts w:ascii="Georgia" w:hAnsi="Georgia"/>
                <w:sz w:val="18"/>
                <w:szCs w:val="18"/>
              </w:rPr>
              <w:t>Course success rates disaggregated by race, ethnicity, socioeconomic status, and program</w:t>
            </w:r>
          </w:p>
        </w:tc>
      </w:tr>
    </w:tbl>
    <w:tbl>
      <w:tblPr>
        <w:tblStyle w:val="TableGrid5"/>
        <w:tblW w:w="14670" w:type="dxa"/>
        <w:tblInd w:w="-69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7290"/>
        <w:gridCol w:w="5760"/>
      </w:tblGrid>
      <w:tr w:rsidR="008C1B91" w:rsidRPr="00476098" w:rsidTr="008C1B91">
        <w:trPr>
          <w:tblHeader/>
        </w:trPr>
        <w:tc>
          <w:tcPr>
            <w:tcW w:w="16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1B91" w:rsidRPr="00476098" w:rsidRDefault="008C1B91" w:rsidP="00E83331">
            <w:pPr>
              <w:rPr>
                <w:rFonts w:ascii="Georgia" w:hAnsi="Georgia"/>
                <w:b/>
                <w:sz w:val="18"/>
                <w:szCs w:val="18"/>
              </w:rPr>
            </w:pPr>
            <w:r w:rsidRPr="00476098">
              <w:rPr>
                <w:rFonts w:ascii="Georgia" w:hAnsi="Georgia"/>
                <w:b/>
                <w:sz w:val="18"/>
                <w:szCs w:val="18"/>
              </w:rPr>
              <w:t>Strategic Plan Reference</w:t>
            </w:r>
          </w:p>
        </w:tc>
        <w:tc>
          <w:tcPr>
            <w:tcW w:w="729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1B91" w:rsidRPr="00476098" w:rsidRDefault="00D73275" w:rsidP="00E83331">
            <w:pPr>
              <w:rPr>
                <w:rFonts w:ascii="Georgia" w:hAnsi="Georgia"/>
                <w:b/>
                <w:sz w:val="18"/>
                <w:szCs w:val="18"/>
              </w:rPr>
            </w:pPr>
            <w:r w:rsidRPr="00476098">
              <w:rPr>
                <w:rFonts w:ascii="Georgia" w:hAnsi="Georgia"/>
                <w:b/>
                <w:sz w:val="18"/>
                <w:szCs w:val="18"/>
              </w:rPr>
              <w:t>Welcoming Culture Action Item</w:t>
            </w:r>
            <w:r w:rsidR="008C1B91" w:rsidRPr="00476098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8C1B91" w:rsidRPr="00476098" w:rsidRDefault="008C1B91" w:rsidP="00E83331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(Actions that improve performance towards outcomes)</w:t>
            </w:r>
          </w:p>
          <w:p w:rsidR="008C1B91" w:rsidRPr="00476098" w:rsidRDefault="008C1B91" w:rsidP="00E83331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What are you going to do?</w:t>
            </w:r>
          </w:p>
        </w:tc>
        <w:tc>
          <w:tcPr>
            <w:tcW w:w="576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1B91" w:rsidRPr="00476098" w:rsidRDefault="008C1B91" w:rsidP="00E83331">
            <w:pPr>
              <w:rPr>
                <w:rFonts w:ascii="Georgia" w:hAnsi="Georgia"/>
                <w:b/>
                <w:sz w:val="18"/>
                <w:szCs w:val="18"/>
              </w:rPr>
            </w:pPr>
            <w:r w:rsidRPr="00476098">
              <w:rPr>
                <w:rFonts w:ascii="Georgia" w:hAnsi="Georgia"/>
                <w:b/>
                <w:sz w:val="18"/>
                <w:szCs w:val="18"/>
              </w:rPr>
              <w:t xml:space="preserve">Key Performance Indicators (KPIs) </w:t>
            </w:r>
          </w:p>
          <w:p w:rsidR="008C1B91" w:rsidRPr="00476098" w:rsidRDefault="008C1B91" w:rsidP="00E83331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(Formative measures of actions)</w:t>
            </w:r>
          </w:p>
          <w:p w:rsidR="008C1B91" w:rsidRPr="00476098" w:rsidRDefault="008C1B91" w:rsidP="00E83331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How will you know if this action is effective?</w:t>
            </w:r>
          </w:p>
        </w:tc>
      </w:tr>
    </w:tbl>
    <w:tbl>
      <w:tblPr>
        <w:tblStyle w:val="TableGrid6"/>
        <w:tblW w:w="14670" w:type="dxa"/>
        <w:tblInd w:w="-6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7290"/>
        <w:gridCol w:w="5760"/>
      </w:tblGrid>
      <w:tr w:rsidR="008C1B91" w:rsidRPr="00476098" w:rsidTr="008C1B91"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1B91" w:rsidRPr="00476098" w:rsidRDefault="008C1B91" w:rsidP="00E8333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lastRenderedPageBreak/>
              <w:t>PSS 3.3.c</w:t>
            </w:r>
          </w:p>
        </w:tc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1B91" w:rsidRPr="00476098" w:rsidRDefault="008C1B91" w:rsidP="008C1B91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Provide professional development on culturally responsive practices around issues of race and gender identity</w:t>
            </w:r>
          </w:p>
        </w:tc>
        <w:tc>
          <w:tcPr>
            <w:tcW w:w="57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1B91" w:rsidRPr="00476098" w:rsidRDefault="008C1B91" w:rsidP="008C1B91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EES Student and Staff Data</w:t>
            </w:r>
          </w:p>
        </w:tc>
      </w:tr>
    </w:tbl>
    <w:tbl>
      <w:tblPr>
        <w:tblStyle w:val="TableGrid7"/>
        <w:tblW w:w="14670" w:type="dxa"/>
        <w:tblInd w:w="-6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8"/>
        <w:gridCol w:w="7292"/>
        <w:gridCol w:w="5760"/>
      </w:tblGrid>
      <w:tr w:rsidR="008C1B91" w:rsidRPr="00476098" w:rsidTr="008C1B91">
        <w:trPr>
          <w:tblHeader/>
        </w:trPr>
        <w:tc>
          <w:tcPr>
            <w:tcW w:w="1618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1B91" w:rsidRPr="00476098" w:rsidRDefault="008C1B91" w:rsidP="00E83331">
            <w:pPr>
              <w:rPr>
                <w:rFonts w:ascii="Georgia" w:hAnsi="Georgia"/>
                <w:b/>
                <w:sz w:val="18"/>
                <w:szCs w:val="18"/>
              </w:rPr>
            </w:pPr>
            <w:r w:rsidRPr="00476098">
              <w:rPr>
                <w:rFonts w:ascii="Georgia" w:hAnsi="Georgia"/>
                <w:b/>
                <w:sz w:val="18"/>
                <w:szCs w:val="18"/>
              </w:rPr>
              <w:t>Strategic Plan Reference</w:t>
            </w:r>
          </w:p>
        </w:tc>
        <w:tc>
          <w:tcPr>
            <w:tcW w:w="729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1B91" w:rsidRPr="00476098" w:rsidRDefault="008C1B91" w:rsidP="00E83331">
            <w:pPr>
              <w:rPr>
                <w:rFonts w:ascii="Georgia" w:hAnsi="Georgia"/>
                <w:b/>
                <w:sz w:val="18"/>
                <w:szCs w:val="18"/>
              </w:rPr>
            </w:pPr>
            <w:r w:rsidRPr="00476098">
              <w:rPr>
                <w:rFonts w:ascii="Georgia" w:hAnsi="Georgia"/>
                <w:b/>
                <w:sz w:val="18"/>
                <w:szCs w:val="18"/>
              </w:rPr>
              <w:t xml:space="preserve">Physically, Emotionally and </w:t>
            </w:r>
            <w:r w:rsidR="00D73275" w:rsidRPr="00476098">
              <w:rPr>
                <w:rFonts w:ascii="Georgia" w:hAnsi="Georgia"/>
                <w:b/>
                <w:sz w:val="18"/>
                <w:szCs w:val="18"/>
              </w:rPr>
              <w:t>Intellectually Safe Action Item</w:t>
            </w:r>
            <w:r w:rsidRPr="00476098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8C1B91" w:rsidRPr="00476098" w:rsidRDefault="008C1B91" w:rsidP="00E83331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(Actions that improve performance towards outcomes)</w:t>
            </w:r>
          </w:p>
          <w:p w:rsidR="008C1B91" w:rsidRPr="00476098" w:rsidRDefault="008C1B91" w:rsidP="00E83331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What are you going to do?</w:t>
            </w:r>
          </w:p>
        </w:tc>
        <w:tc>
          <w:tcPr>
            <w:tcW w:w="576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1B91" w:rsidRPr="00476098" w:rsidRDefault="008C1B91" w:rsidP="00E83331">
            <w:pPr>
              <w:rPr>
                <w:rFonts w:ascii="Georgia" w:hAnsi="Georgia"/>
                <w:b/>
                <w:sz w:val="18"/>
                <w:szCs w:val="18"/>
              </w:rPr>
            </w:pPr>
            <w:r w:rsidRPr="00476098">
              <w:rPr>
                <w:rFonts w:ascii="Georgia" w:hAnsi="Georgia"/>
                <w:b/>
                <w:sz w:val="18"/>
                <w:szCs w:val="18"/>
              </w:rPr>
              <w:t xml:space="preserve">Key Performance Indicators (KPIs) </w:t>
            </w:r>
          </w:p>
          <w:p w:rsidR="008C1B91" w:rsidRPr="00476098" w:rsidRDefault="008C1B91" w:rsidP="00E83331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(Formative measures of actions)</w:t>
            </w:r>
          </w:p>
          <w:p w:rsidR="008C1B91" w:rsidRPr="00476098" w:rsidRDefault="008C1B91" w:rsidP="00E83331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How will you know if this action is effective?</w:t>
            </w:r>
          </w:p>
        </w:tc>
      </w:tr>
    </w:tbl>
    <w:tbl>
      <w:tblPr>
        <w:tblStyle w:val="TableGrid8"/>
        <w:tblW w:w="14670" w:type="dxa"/>
        <w:tblInd w:w="-6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7290"/>
        <w:gridCol w:w="5760"/>
      </w:tblGrid>
      <w:tr w:rsidR="008C1B91" w:rsidRPr="00476098" w:rsidTr="008C1B91"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1B91" w:rsidRPr="00476098" w:rsidRDefault="008C1B91" w:rsidP="00E8333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PSS 3.4.a</w:t>
            </w:r>
          </w:p>
        </w:tc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1B91" w:rsidRPr="00476098" w:rsidRDefault="008C1B91" w:rsidP="008C1B91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 xml:space="preserve">Implement PBIS monthly behavior lesson using school-wide common language. </w:t>
            </w:r>
          </w:p>
        </w:tc>
        <w:tc>
          <w:tcPr>
            <w:tcW w:w="57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1B91" w:rsidRPr="00476098" w:rsidRDefault="008C1B91" w:rsidP="008C1B91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 xml:space="preserve">Monthly discipline data pulls </w:t>
            </w:r>
          </w:p>
          <w:p w:rsidR="008C1B91" w:rsidRPr="00476098" w:rsidRDefault="008C1B91" w:rsidP="008C1B91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Monthly Staff Classroom Concerns Questionnaire.</w:t>
            </w:r>
          </w:p>
          <w:p w:rsidR="008C1B91" w:rsidRPr="00476098" w:rsidRDefault="008C1B91" w:rsidP="008C1B91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EES Student and Staff Data</w:t>
            </w:r>
          </w:p>
        </w:tc>
      </w:tr>
    </w:tbl>
    <w:tbl>
      <w:tblPr>
        <w:tblStyle w:val="TableGrid13"/>
        <w:tblW w:w="14670" w:type="dxa"/>
        <w:tblInd w:w="-69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7290"/>
        <w:gridCol w:w="5760"/>
      </w:tblGrid>
      <w:tr w:rsidR="00385587" w:rsidRPr="00476098" w:rsidTr="00E83331">
        <w:trPr>
          <w:tblHeader/>
        </w:trPr>
        <w:tc>
          <w:tcPr>
            <w:tcW w:w="16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85587" w:rsidRPr="00476098" w:rsidRDefault="00385587" w:rsidP="00E83331">
            <w:pPr>
              <w:rPr>
                <w:rFonts w:ascii="Georgia" w:hAnsi="Georgia"/>
                <w:b/>
                <w:sz w:val="18"/>
                <w:szCs w:val="18"/>
              </w:rPr>
            </w:pPr>
            <w:r w:rsidRPr="00476098">
              <w:rPr>
                <w:rFonts w:ascii="Georgia" w:hAnsi="Georgia"/>
                <w:b/>
                <w:sz w:val="18"/>
                <w:szCs w:val="18"/>
              </w:rPr>
              <w:t>Strategic Plan Reference</w:t>
            </w:r>
          </w:p>
        </w:tc>
        <w:tc>
          <w:tcPr>
            <w:tcW w:w="729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85587" w:rsidRPr="00476098" w:rsidRDefault="00385587" w:rsidP="00E83331">
            <w:pPr>
              <w:rPr>
                <w:rFonts w:ascii="Georgia" w:hAnsi="Georgia"/>
                <w:b/>
                <w:sz w:val="18"/>
                <w:szCs w:val="18"/>
              </w:rPr>
            </w:pPr>
            <w:r w:rsidRPr="00476098">
              <w:rPr>
                <w:rFonts w:ascii="Georgia" w:hAnsi="Georgia"/>
                <w:b/>
                <w:sz w:val="18"/>
                <w:szCs w:val="18"/>
              </w:rPr>
              <w:t xml:space="preserve">Equitable and Accessible Opportunities </w:t>
            </w:r>
          </w:p>
          <w:p w:rsidR="00385587" w:rsidRPr="00476098" w:rsidRDefault="00385587" w:rsidP="00E83331">
            <w:pPr>
              <w:rPr>
                <w:rFonts w:ascii="Georgia" w:hAnsi="Georgia"/>
                <w:b/>
                <w:sz w:val="18"/>
                <w:szCs w:val="18"/>
              </w:rPr>
            </w:pPr>
            <w:r w:rsidRPr="00476098">
              <w:rPr>
                <w:rFonts w:ascii="Georgia" w:hAnsi="Georgia"/>
                <w:b/>
                <w:sz w:val="18"/>
                <w:szCs w:val="18"/>
              </w:rPr>
              <w:t>&amp; C</w:t>
            </w:r>
            <w:r w:rsidR="00D73275" w:rsidRPr="00476098">
              <w:rPr>
                <w:rFonts w:ascii="Georgia" w:hAnsi="Georgia"/>
                <w:b/>
                <w:sz w:val="18"/>
                <w:szCs w:val="18"/>
              </w:rPr>
              <w:t>hallenging Options Action Item</w:t>
            </w:r>
          </w:p>
          <w:p w:rsidR="00385587" w:rsidRPr="00476098" w:rsidRDefault="00385587" w:rsidP="00E83331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(Actions that improve performance towards outcomes)</w:t>
            </w:r>
          </w:p>
          <w:p w:rsidR="00385587" w:rsidRPr="00476098" w:rsidRDefault="00385587" w:rsidP="00E83331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What are you going to do?</w:t>
            </w:r>
          </w:p>
        </w:tc>
        <w:tc>
          <w:tcPr>
            <w:tcW w:w="576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85587" w:rsidRPr="00476098" w:rsidRDefault="00385587" w:rsidP="00E83331">
            <w:pPr>
              <w:rPr>
                <w:rFonts w:ascii="Georgia" w:hAnsi="Georgia"/>
                <w:b/>
                <w:sz w:val="18"/>
                <w:szCs w:val="18"/>
              </w:rPr>
            </w:pPr>
            <w:r w:rsidRPr="00476098">
              <w:rPr>
                <w:rFonts w:ascii="Georgia" w:hAnsi="Georgia"/>
                <w:b/>
                <w:sz w:val="18"/>
                <w:szCs w:val="18"/>
              </w:rPr>
              <w:t xml:space="preserve">Key Performance Indicators (KPIs) </w:t>
            </w:r>
          </w:p>
          <w:p w:rsidR="00385587" w:rsidRPr="00476098" w:rsidRDefault="00385587" w:rsidP="00E83331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(Formative measures of actions)</w:t>
            </w:r>
          </w:p>
          <w:p w:rsidR="00385587" w:rsidRPr="00476098" w:rsidRDefault="00385587" w:rsidP="00E83331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How will you know if this action is effective?</w:t>
            </w:r>
          </w:p>
        </w:tc>
      </w:tr>
    </w:tbl>
    <w:tbl>
      <w:tblPr>
        <w:tblStyle w:val="TableGrid10"/>
        <w:tblW w:w="14670" w:type="dxa"/>
        <w:tblInd w:w="-6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7310"/>
        <w:gridCol w:w="5740"/>
      </w:tblGrid>
      <w:tr w:rsidR="008C1B91" w:rsidRPr="00476098" w:rsidTr="00385587"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1B91" w:rsidRPr="00476098" w:rsidRDefault="008C1B91" w:rsidP="00E8333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TL 1.3.a</w:t>
            </w:r>
          </w:p>
        </w:tc>
        <w:tc>
          <w:tcPr>
            <w:tcW w:w="73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1B91" w:rsidRPr="00476098" w:rsidRDefault="008C1B91" w:rsidP="008C1B91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Build culture of expectation in all classes that prepares students for college-level classes, including giving AP prompts in all classes, including core and challenging option courses, increasing use of collaborative strategies such as AVID tutorials, study groups, and peer tutoring.</w:t>
            </w:r>
          </w:p>
        </w:tc>
        <w:tc>
          <w:tcPr>
            <w:tcW w:w="57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1B91" w:rsidRPr="00476098" w:rsidRDefault="008C1B91" w:rsidP="008C1B91">
            <w:pPr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Participation in after school and PAWS supports, including peer tutoring.</w:t>
            </w:r>
          </w:p>
          <w:p w:rsidR="008C1B91" w:rsidRPr="00476098" w:rsidRDefault="008C1B91" w:rsidP="008C1B91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Walkthroughs, observations, and collaborative team meeting notes demonstrate evidence of student responses to AP prompts in classes at all levels</w:t>
            </w:r>
          </w:p>
        </w:tc>
      </w:tr>
    </w:tbl>
    <w:tbl>
      <w:tblPr>
        <w:tblStyle w:val="TableGrid11"/>
        <w:tblW w:w="14670" w:type="dxa"/>
        <w:tblInd w:w="-69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7290"/>
        <w:gridCol w:w="5760"/>
      </w:tblGrid>
      <w:tr w:rsidR="00385587" w:rsidRPr="00476098" w:rsidTr="00385587">
        <w:trPr>
          <w:tblHeader/>
        </w:trPr>
        <w:tc>
          <w:tcPr>
            <w:tcW w:w="16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85587" w:rsidRPr="00476098" w:rsidRDefault="00385587" w:rsidP="00E83331">
            <w:pPr>
              <w:rPr>
                <w:rFonts w:ascii="Georgia" w:hAnsi="Georgia"/>
                <w:b/>
                <w:sz w:val="18"/>
                <w:szCs w:val="18"/>
              </w:rPr>
            </w:pPr>
            <w:r w:rsidRPr="00476098">
              <w:rPr>
                <w:rFonts w:ascii="Georgia" w:hAnsi="Georgia"/>
                <w:b/>
                <w:sz w:val="18"/>
                <w:szCs w:val="18"/>
              </w:rPr>
              <w:t>Strategic Plan Reference</w:t>
            </w:r>
          </w:p>
        </w:tc>
        <w:tc>
          <w:tcPr>
            <w:tcW w:w="729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85587" w:rsidRPr="00476098" w:rsidRDefault="00385587" w:rsidP="00E83331">
            <w:pPr>
              <w:rPr>
                <w:rFonts w:ascii="Georgia" w:hAnsi="Georgia"/>
                <w:b/>
                <w:sz w:val="18"/>
                <w:szCs w:val="18"/>
              </w:rPr>
            </w:pPr>
            <w:r w:rsidRPr="00476098">
              <w:rPr>
                <w:rFonts w:ascii="Georgia" w:hAnsi="Georgia"/>
                <w:b/>
                <w:sz w:val="18"/>
                <w:szCs w:val="18"/>
              </w:rPr>
              <w:t>F</w:t>
            </w:r>
            <w:r w:rsidR="00D73275" w:rsidRPr="00476098">
              <w:rPr>
                <w:rFonts w:ascii="Georgia" w:hAnsi="Georgia"/>
                <w:b/>
                <w:sz w:val="18"/>
                <w:szCs w:val="18"/>
              </w:rPr>
              <w:t>amily Partnerships Action Item</w:t>
            </w:r>
          </w:p>
          <w:p w:rsidR="00385587" w:rsidRPr="00476098" w:rsidRDefault="00385587" w:rsidP="00E83331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(Actions that improve performance towar</w:t>
            </w:r>
            <w:bookmarkStart w:id="0" w:name="_GoBack"/>
            <w:bookmarkEnd w:id="0"/>
            <w:r w:rsidRPr="00476098">
              <w:rPr>
                <w:rFonts w:ascii="Georgia" w:hAnsi="Georgia"/>
                <w:sz w:val="18"/>
                <w:szCs w:val="18"/>
              </w:rPr>
              <w:t>ds outcomes)</w:t>
            </w:r>
          </w:p>
          <w:p w:rsidR="00385587" w:rsidRPr="00476098" w:rsidRDefault="00385587" w:rsidP="00E83331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What are you going to do?</w:t>
            </w:r>
          </w:p>
        </w:tc>
        <w:tc>
          <w:tcPr>
            <w:tcW w:w="576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85587" w:rsidRPr="00476098" w:rsidRDefault="00385587" w:rsidP="00E83331">
            <w:pPr>
              <w:rPr>
                <w:rFonts w:ascii="Georgia" w:hAnsi="Georgia"/>
                <w:b/>
                <w:sz w:val="18"/>
                <w:szCs w:val="18"/>
              </w:rPr>
            </w:pPr>
            <w:r w:rsidRPr="00476098">
              <w:rPr>
                <w:rFonts w:ascii="Georgia" w:hAnsi="Georgia"/>
                <w:b/>
                <w:sz w:val="18"/>
                <w:szCs w:val="18"/>
              </w:rPr>
              <w:t xml:space="preserve">Key Performance Indicators (KPIs) </w:t>
            </w:r>
          </w:p>
          <w:p w:rsidR="00385587" w:rsidRPr="00476098" w:rsidRDefault="00385587" w:rsidP="00E83331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(Formative measures of actions)</w:t>
            </w:r>
          </w:p>
          <w:p w:rsidR="00385587" w:rsidRPr="00476098" w:rsidRDefault="00385587" w:rsidP="00E83331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How will you know if this action is effective?</w:t>
            </w:r>
          </w:p>
        </w:tc>
      </w:tr>
    </w:tbl>
    <w:tbl>
      <w:tblPr>
        <w:tblStyle w:val="TableGrid12"/>
        <w:tblW w:w="14670" w:type="dxa"/>
        <w:tblInd w:w="-6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7290"/>
        <w:gridCol w:w="5760"/>
      </w:tblGrid>
      <w:tr w:rsidR="00385587" w:rsidRPr="00476098" w:rsidTr="00385587"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85587" w:rsidRPr="00476098" w:rsidRDefault="00385587" w:rsidP="00E8333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SR 5.1.b</w:t>
            </w:r>
          </w:p>
        </w:tc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85587" w:rsidRPr="00476098" w:rsidRDefault="00385587" w:rsidP="00385587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Bring in Natural Leaders volunteers to work as AVID tutors, and train in Tutorology protocol.</w:t>
            </w:r>
          </w:p>
        </w:tc>
        <w:tc>
          <w:tcPr>
            <w:tcW w:w="57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85587" w:rsidRPr="00476098" w:rsidRDefault="00385587" w:rsidP="00385587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Natural Leaders volunteers in AVID classrooms.</w:t>
            </w:r>
          </w:p>
          <w:p w:rsidR="00385587" w:rsidRPr="00476098" w:rsidRDefault="00385587" w:rsidP="00385587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Volunteer Paperwork</w:t>
            </w:r>
          </w:p>
        </w:tc>
      </w:tr>
    </w:tbl>
    <w:tbl>
      <w:tblPr>
        <w:tblStyle w:val="TableGrid15"/>
        <w:tblW w:w="14670" w:type="dxa"/>
        <w:tblInd w:w="-69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7290"/>
        <w:gridCol w:w="5760"/>
      </w:tblGrid>
      <w:tr w:rsidR="00AA6CA9" w:rsidRPr="00476098" w:rsidTr="00AA6CA9">
        <w:trPr>
          <w:tblHeader/>
        </w:trPr>
        <w:tc>
          <w:tcPr>
            <w:tcW w:w="16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6CA9" w:rsidRPr="00476098" w:rsidRDefault="00AA6CA9" w:rsidP="00363072">
            <w:pPr>
              <w:rPr>
                <w:rFonts w:ascii="Georgia" w:hAnsi="Georgia"/>
                <w:b/>
                <w:sz w:val="18"/>
                <w:szCs w:val="18"/>
              </w:rPr>
            </w:pPr>
            <w:r w:rsidRPr="00476098">
              <w:rPr>
                <w:rFonts w:ascii="Georgia" w:hAnsi="Georgia"/>
                <w:b/>
                <w:sz w:val="18"/>
                <w:szCs w:val="18"/>
              </w:rPr>
              <w:t>Strategic Plan Reference</w:t>
            </w:r>
          </w:p>
        </w:tc>
        <w:tc>
          <w:tcPr>
            <w:tcW w:w="729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6CA9" w:rsidRPr="00476098" w:rsidRDefault="00AA6CA9" w:rsidP="00363072">
            <w:pPr>
              <w:rPr>
                <w:rFonts w:ascii="Georgia" w:hAnsi="Georgia"/>
                <w:b/>
                <w:sz w:val="18"/>
                <w:szCs w:val="18"/>
              </w:rPr>
            </w:pPr>
            <w:r w:rsidRPr="00476098">
              <w:rPr>
                <w:rFonts w:ascii="Georgia" w:hAnsi="Georgia"/>
                <w:b/>
                <w:sz w:val="18"/>
                <w:szCs w:val="18"/>
              </w:rPr>
              <w:t xml:space="preserve">Attendance Action Items </w:t>
            </w:r>
          </w:p>
          <w:p w:rsidR="00AA6CA9" w:rsidRPr="00476098" w:rsidRDefault="00AA6CA9" w:rsidP="00363072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(Actions that improve performance towards outcomes)</w:t>
            </w:r>
          </w:p>
          <w:p w:rsidR="00AA6CA9" w:rsidRPr="00476098" w:rsidRDefault="00AA6CA9" w:rsidP="00363072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What are you going to do?</w:t>
            </w:r>
          </w:p>
        </w:tc>
        <w:tc>
          <w:tcPr>
            <w:tcW w:w="576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6CA9" w:rsidRPr="00476098" w:rsidRDefault="00AA6CA9" w:rsidP="00363072">
            <w:pPr>
              <w:rPr>
                <w:rFonts w:ascii="Georgia" w:hAnsi="Georgia"/>
                <w:b/>
                <w:sz w:val="18"/>
                <w:szCs w:val="18"/>
              </w:rPr>
            </w:pPr>
            <w:r w:rsidRPr="00476098">
              <w:rPr>
                <w:rFonts w:ascii="Georgia" w:hAnsi="Georgia"/>
                <w:b/>
                <w:sz w:val="18"/>
                <w:szCs w:val="18"/>
              </w:rPr>
              <w:t xml:space="preserve">Key Performance Indicators (KPIs) </w:t>
            </w:r>
          </w:p>
          <w:p w:rsidR="00AA6CA9" w:rsidRPr="00476098" w:rsidRDefault="00AA6CA9" w:rsidP="00363072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(Formative measures of actions)</w:t>
            </w:r>
          </w:p>
          <w:p w:rsidR="00AA6CA9" w:rsidRPr="00476098" w:rsidRDefault="00AA6CA9" w:rsidP="00363072">
            <w:p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How will you know if this action is effective?</w:t>
            </w:r>
          </w:p>
        </w:tc>
      </w:tr>
    </w:tbl>
    <w:tbl>
      <w:tblPr>
        <w:tblStyle w:val="TableGrid16"/>
        <w:tblW w:w="14670" w:type="dxa"/>
        <w:tblInd w:w="-6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7290"/>
        <w:gridCol w:w="5760"/>
      </w:tblGrid>
      <w:tr w:rsidR="00AA6CA9" w:rsidRPr="00476098" w:rsidTr="00476098">
        <w:trPr>
          <w:trHeight w:val="30"/>
        </w:trPr>
        <w:tc>
          <w:tcPr>
            <w:tcW w:w="16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6CA9" w:rsidRPr="00476098" w:rsidRDefault="00AA6CA9" w:rsidP="00363072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TL 1.3.b</w:t>
            </w:r>
          </w:p>
        </w:tc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6CA9" w:rsidRPr="00476098" w:rsidRDefault="00AA6CA9" w:rsidP="00AA6CA9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Reinforce positive expectations through quarterly attendance improvement recognition and semester perfect attendance recognition.</w:t>
            </w:r>
          </w:p>
        </w:tc>
        <w:tc>
          <w:tcPr>
            <w:tcW w:w="57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A6CA9" w:rsidRPr="00476098" w:rsidRDefault="00AA6CA9" w:rsidP="00AA6CA9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Monthly reports of average daily attendance</w:t>
            </w:r>
          </w:p>
          <w:p w:rsidR="00AA6CA9" w:rsidRPr="00476098" w:rsidRDefault="00AA6CA9" w:rsidP="00AA6CA9">
            <w:pPr>
              <w:pStyle w:val="NoSpacing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476098">
              <w:rPr>
                <w:rFonts w:ascii="Georgia" w:hAnsi="Georgia"/>
                <w:sz w:val="18"/>
                <w:szCs w:val="18"/>
              </w:rPr>
              <w:t>Numbers of students recognized each quarter and semester</w:t>
            </w:r>
          </w:p>
        </w:tc>
      </w:tr>
    </w:tbl>
    <w:p w:rsidR="00422543" w:rsidRPr="00422543" w:rsidRDefault="00D24E44" w:rsidP="00422543">
      <w:pPr>
        <w:pStyle w:val="NoSpacing"/>
      </w:pPr>
      <w:r w:rsidRPr="00D24E44"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70040E8E" wp14:editId="66AF3EEA">
            <wp:simplePos x="0" y="0"/>
            <wp:positionH relativeFrom="column">
              <wp:posOffset>-346075</wp:posOffset>
            </wp:positionH>
            <wp:positionV relativeFrom="paragraph">
              <wp:posOffset>-5947410</wp:posOffset>
            </wp:positionV>
            <wp:extent cx="1813560" cy="777240"/>
            <wp:effectExtent l="0" t="0" r="0" b="3810"/>
            <wp:wrapNone/>
            <wp:docPr id="3" name="Picture 3" descr="EPS-Primary-Logo-CMY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-Primary-Logo-CMYK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098" w:rsidRPr="00422543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264E3D21" wp14:editId="228BF235">
            <wp:simplePos x="0" y="0"/>
            <wp:positionH relativeFrom="column">
              <wp:posOffset>1000125</wp:posOffset>
            </wp:positionH>
            <wp:positionV relativeFrom="paragraph">
              <wp:posOffset>1903095</wp:posOffset>
            </wp:positionV>
            <wp:extent cx="1813560" cy="777240"/>
            <wp:effectExtent l="0" t="0" r="0" b="3810"/>
            <wp:wrapNone/>
            <wp:docPr id="2" name="Picture 2" descr="EPS-Primary-Logo-CMY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-Primary-Logo-CMYK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2543" w:rsidRPr="00422543" w:rsidSect="00422543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29" w:rsidRDefault="000C6029" w:rsidP="00DD4FA0">
      <w:pPr>
        <w:spacing w:after="0" w:line="240" w:lineRule="auto"/>
      </w:pPr>
      <w:r>
        <w:separator/>
      </w:r>
    </w:p>
  </w:endnote>
  <w:endnote w:type="continuationSeparator" w:id="0">
    <w:p w:rsidR="000C6029" w:rsidRDefault="000C6029" w:rsidP="00DD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29" w:rsidRDefault="000C6029" w:rsidP="00DD4FA0">
      <w:pPr>
        <w:spacing w:after="0" w:line="240" w:lineRule="auto"/>
      </w:pPr>
      <w:r>
        <w:separator/>
      </w:r>
    </w:p>
  </w:footnote>
  <w:footnote w:type="continuationSeparator" w:id="0">
    <w:p w:rsidR="000C6029" w:rsidRDefault="000C6029" w:rsidP="00DD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A0" w:rsidRPr="00422543" w:rsidRDefault="00DD4FA0" w:rsidP="00DD4FA0">
    <w:pPr>
      <w:pStyle w:val="Header"/>
      <w:jc w:val="right"/>
      <w:rPr>
        <w:rFonts w:ascii="Myriad Pro" w:hAnsi="Myriad Pro"/>
        <w:b/>
        <w:noProof/>
        <w:sz w:val="24"/>
        <w:szCs w:val="24"/>
      </w:rPr>
    </w:pPr>
    <w:r w:rsidRPr="00422543">
      <w:rPr>
        <w:rFonts w:ascii="Myriad Pro" w:hAnsi="Myriad Pro"/>
        <w:b/>
        <w:noProof/>
        <w:sz w:val="24"/>
        <w:szCs w:val="24"/>
      </w:rPr>
      <w:t>2015-16 School Improvement Plan</w:t>
    </w:r>
  </w:p>
  <w:p w:rsidR="00DD4FA0" w:rsidRPr="00422543" w:rsidRDefault="00DD4FA0" w:rsidP="00DD4FA0">
    <w:pPr>
      <w:tabs>
        <w:tab w:val="center" w:pos="4680"/>
        <w:tab w:val="right" w:pos="9360"/>
      </w:tabs>
      <w:spacing w:after="0" w:line="240" w:lineRule="auto"/>
      <w:jc w:val="right"/>
      <w:rPr>
        <w:rFonts w:ascii="Myriad Pro" w:hAnsi="Myriad Pro"/>
        <w:noProof/>
        <w:sz w:val="24"/>
        <w:szCs w:val="24"/>
      </w:rPr>
    </w:pPr>
    <w:r w:rsidRPr="00422543">
      <w:rPr>
        <w:rFonts w:ascii="Myriad Pro" w:hAnsi="Myriad Pro"/>
        <w:noProof/>
        <w:sz w:val="24"/>
        <w:szCs w:val="24"/>
      </w:rPr>
      <w:t>Cascade High School</w:t>
    </w:r>
  </w:p>
  <w:p w:rsidR="00DD4FA0" w:rsidRPr="00422543" w:rsidRDefault="00DD4FA0" w:rsidP="00DD4FA0">
    <w:pPr>
      <w:tabs>
        <w:tab w:val="center" w:pos="4680"/>
        <w:tab w:val="right" w:pos="9360"/>
      </w:tabs>
      <w:spacing w:after="0" w:line="240" w:lineRule="auto"/>
      <w:jc w:val="right"/>
      <w:rPr>
        <w:rFonts w:ascii="Myriad Pro" w:hAnsi="Myriad Pro"/>
        <w:noProof/>
        <w:sz w:val="24"/>
        <w:szCs w:val="24"/>
      </w:rPr>
    </w:pPr>
    <w:r w:rsidRPr="00422543">
      <w:rPr>
        <w:rFonts w:ascii="Myriad Pro" w:hAnsi="Myriad Pro"/>
        <w:noProof/>
        <w:sz w:val="24"/>
        <w:szCs w:val="24"/>
      </w:rPr>
      <w:t xml:space="preserve"> Cathy Woods, Principal</w:t>
    </w:r>
  </w:p>
  <w:p w:rsidR="00DD4FA0" w:rsidRDefault="00DD4FA0" w:rsidP="00DD4FA0">
    <w:pPr>
      <w:pStyle w:val="Header"/>
      <w:jc w:val="right"/>
    </w:pPr>
  </w:p>
  <w:p w:rsidR="00DD4FA0" w:rsidRDefault="00DD4F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748D"/>
    <w:multiLevelType w:val="hybridMultilevel"/>
    <w:tmpl w:val="92069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43"/>
    <w:rsid w:val="000C6029"/>
    <w:rsid w:val="00385587"/>
    <w:rsid w:val="00422543"/>
    <w:rsid w:val="00476098"/>
    <w:rsid w:val="0074277E"/>
    <w:rsid w:val="00783B73"/>
    <w:rsid w:val="008C1B91"/>
    <w:rsid w:val="00976B85"/>
    <w:rsid w:val="00AA6CA9"/>
    <w:rsid w:val="00D24E44"/>
    <w:rsid w:val="00D73275"/>
    <w:rsid w:val="00DA3130"/>
    <w:rsid w:val="00D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FA0"/>
    <w:pPr>
      <w:keepNext/>
      <w:keepLines/>
      <w:spacing w:after="0" w:line="240" w:lineRule="auto"/>
      <w:outlineLvl w:val="1"/>
    </w:pPr>
    <w:rPr>
      <w:rFonts w:ascii="Myriad Pro" w:eastAsiaTheme="majorEastAsia" w:hAnsi="Myriad Pro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543"/>
    <w:pPr>
      <w:tabs>
        <w:tab w:val="center" w:pos="4680"/>
        <w:tab w:val="right" w:pos="9360"/>
      </w:tabs>
      <w:spacing w:after="0" w:line="240" w:lineRule="auto"/>
    </w:pPr>
    <w:rPr>
      <w:rFonts w:ascii="Georgia" w:hAnsi="Georgi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22543"/>
    <w:rPr>
      <w:rFonts w:ascii="Georgia" w:hAnsi="Georgia"/>
      <w:sz w:val="20"/>
    </w:rPr>
  </w:style>
  <w:style w:type="paragraph" w:styleId="NoSpacing">
    <w:name w:val="No Spacing"/>
    <w:uiPriority w:val="1"/>
    <w:qFormat/>
    <w:rsid w:val="00422543"/>
    <w:pPr>
      <w:spacing w:after="0" w:line="240" w:lineRule="auto"/>
    </w:pPr>
  </w:style>
  <w:style w:type="table" w:styleId="TableGrid">
    <w:name w:val="Table Grid"/>
    <w:basedOn w:val="TableNormal"/>
    <w:uiPriority w:val="59"/>
    <w:rsid w:val="00DD4FA0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D4FA0"/>
    <w:rPr>
      <w:rFonts w:ascii="Myriad Pro" w:eastAsiaTheme="majorEastAsia" w:hAnsi="Myriad Pro" w:cstheme="majorBidi"/>
      <w:bCs/>
      <w:szCs w:val="26"/>
    </w:rPr>
  </w:style>
  <w:style w:type="table" w:customStyle="1" w:styleId="TableGrid1">
    <w:name w:val="Table Grid1"/>
    <w:basedOn w:val="TableNormal"/>
    <w:next w:val="TableGrid"/>
    <w:uiPriority w:val="59"/>
    <w:rsid w:val="00DD4FA0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D4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FA0"/>
  </w:style>
  <w:style w:type="paragraph" w:styleId="BalloonText">
    <w:name w:val="Balloon Text"/>
    <w:basedOn w:val="Normal"/>
    <w:link w:val="BalloonTextChar"/>
    <w:uiPriority w:val="99"/>
    <w:semiHidden/>
    <w:unhideWhenUsed/>
    <w:rsid w:val="00DD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A0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DD4FA0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4FA0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4FA0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C1B91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C1B91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C1B91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C1B91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C1B91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8C1B91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85587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385587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85587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85587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AA6CA9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AA6CA9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FA0"/>
    <w:pPr>
      <w:keepNext/>
      <w:keepLines/>
      <w:spacing w:after="0" w:line="240" w:lineRule="auto"/>
      <w:outlineLvl w:val="1"/>
    </w:pPr>
    <w:rPr>
      <w:rFonts w:ascii="Myriad Pro" w:eastAsiaTheme="majorEastAsia" w:hAnsi="Myriad Pro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543"/>
    <w:pPr>
      <w:tabs>
        <w:tab w:val="center" w:pos="4680"/>
        <w:tab w:val="right" w:pos="9360"/>
      </w:tabs>
      <w:spacing w:after="0" w:line="240" w:lineRule="auto"/>
    </w:pPr>
    <w:rPr>
      <w:rFonts w:ascii="Georgia" w:hAnsi="Georgi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22543"/>
    <w:rPr>
      <w:rFonts w:ascii="Georgia" w:hAnsi="Georgia"/>
      <w:sz w:val="20"/>
    </w:rPr>
  </w:style>
  <w:style w:type="paragraph" w:styleId="NoSpacing">
    <w:name w:val="No Spacing"/>
    <w:uiPriority w:val="1"/>
    <w:qFormat/>
    <w:rsid w:val="00422543"/>
    <w:pPr>
      <w:spacing w:after="0" w:line="240" w:lineRule="auto"/>
    </w:pPr>
  </w:style>
  <w:style w:type="table" w:styleId="TableGrid">
    <w:name w:val="Table Grid"/>
    <w:basedOn w:val="TableNormal"/>
    <w:uiPriority w:val="59"/>
    <w:rsid w:val="00DD4FA0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D4FA0"/>
    <w:rPr>
      <w:rFonts w:ascii="Myriad Pro" w:eastAsiaTheme="majorEastAsia" w:hAnsi="Myriad Pro" w:cstheme="majorBidi"/>
      <w:bCs/>
      <w:szCs w:val="26"/>
    </w:rPr>
  </w:style>
  <w:style w:type="table" w:customStyle="1" w:styleId="TableGrid1">
    <w:name w:val="Table Grid1"/>
    <w:basedOn w:val="TableNormal"/>
    <w:next w:val="TableGrid"/>
    <w:uiPriority w:val="59"/>
    <w:rsid w:val="00DD4FA0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D4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FA0"/>
  </w:style>
  <w:style w:type="paragraph" w:styleId="BalloonText">
    <w:name w:val="Balloon Text"/>
    <w:basedOn w:val="Normal"/>
    <w:link w:val="BalloonTextChar"/>
    <w:uiPriority w:val="99"/>
    <w:semiHidden/>
    <w:unhideWhenUsed/>
    <w:rsid w:val="00DD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A0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DD4FA0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4FA0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4FA0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C1B91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C1B91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C1B91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C1B91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C1B91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8C1B91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85587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385587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85587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85587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AA6CA9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AA6CA9"/>
    <w:pPr>
      <w:spacing w:after="0" w:line="240" w:lineRule="auto"/>
    </w:pPr>
    <w:rPr>
      <w:rFonts w:ascii="Myriad Pro" w:hAnsi="Myriad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Aguilar, Robert</dc:creator>
  <cp:lastModifiedBy>Aguilar, Robert</cp:lastModifiedBy>
  <cp:revision>6</cp:revision>
  <cp:lastPrinted>2016-01-29T18:01:00Z</cp:lastPrinted>
  <dcterms:created xsi:type="dcterms:W3CDTF">2016-01-27T01:36:00Z</dcterms:created>
  <dcterms:modified xsi:type="dcterms:W3CDTF">2016-01-29T18:07:00Z</dcterms:modified>
</cp:coreProperties>
</file>