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D14" w:rsidRPr="000D1D14" w:rsidRDefault="000D1D14" w:rsidP="000D1D14">
      <w:pPr>
        <w:spacing w:after="0" w:line="240" w:lineRule="auto"/>
      </w:pPr>
      <w:r w:rsidRPr="000D1D14">
        <w:t>Dear trustees:</w:t>
      </w:r>
    </w:p>
    <w:p w:rsidR="000D1D14" w:rsidRPr="000D1D14" w:rsidRDefault="000D1D14" w:rsidP="000D1D14">
      <w:pPr>
        <w:spacing w:before="60" w:after="0" w:line="240" w:lineRule="auto"/>
      </w:pPr>
      <w:r w:rsidRPr="000D1D14">
        <w:t>Prior to the start of each Renewal Term as stated in the current SOW, we are sending you a copy of the signed SOW together with a request to reconfirm that the Services, terms and conditions set forth in this SOW will continue for the following year. The Parties agree that the Services outlined in this SOW reflect the Services you want Mercer to perform for the following 12–month period, unless you inform Mercer in writing to the contrary within ten (10) business days of Client’s receipt of such confirmation request by Mercer.</w:t>
      </w:r>
    </w:p>
    <w:p w:rsidR="000D1D14" w:rsidRPr="000D1D14" w:rsidRDefault="000D1D14" w:rsidP="000D1D14">
      <w:pPr>
        <w:spacing w:before="60" w:after="0" w:line="240" w:lineRule="auto"/>
      </w:pPr>
      <w:r w:rsidRPr="000D1D14">
        <w:t>Below is an update of the table that we have historically included in the SOW for reference:</w:t>
      </w:r>
    </w:p>
    <w:p w:rsidR="000D1D14" w:rsidRPr="000D1D14" w:rsidRDefault="000D1D14" w:rsidP="000D1D14">
      <w:pPr>
        <w:spacing w:after="0" w:line="240" w:lineRule="auto"/>
        <w:rPr>
          <w:sz w:val="6"/>
        </w:rPr>
      </w:pPr>
    </w:p>
    <w:tbl>
      <w:tblPr>
        <w:tblW w:w="9734" w:type="dxa"/>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973"/>
        <w:gridCol w:w="2138"/>
        <w:gridCol w:w="3649"/>
        <w:gridCol w:w="1974"/>
      </w:tblGrid>
      <w:tr w:rsidR="000D1D14" w:rsidRPr="000D1D14" w:rsidTr="000D1D14">
        <w:trPr>
          <w:tblCellSpacing w:w="15" w:type="dxa"/>
        </w:trPr>
        <w:tc>
          <w:tcPr>
            <w:tcW w:w="0" w:type="auto"/>
            <w:tcMar>
              <w:top w:w="15" w:type="dxa"/>
              <w:left w:w="15" w:type="dxa"/>
              <w:bottom w:w="15" w:type="dxa"/>
              <w:right w:w="15" w:type="dxa"/>
            </w:tcMar>
            <w:vAlign w:val="center"/>
            <w:hideMark/>
          </w:tcPr>
          <w:p w:rsidR="000D1D14" w:rsidRPr="000D1D14" w:rsidRDefault="000D1D14" w:rsidP="000D1D14">
            <w:pPr>
              <w:spacing w:after="0" w:line="240" w:lineRule="auto"/>
            </w:pPr>
            <w:r w:rsidRPr="000D1D14">
              <w:rPr>
                <w:b/>
                <w:bCs/>
              </w:rPr>
              <w:t xml:space="preserve">2017-2018 Estimated Budget </w:t>
            </w:r>
          </w:p>
        </w:tc>
        <w:tc>
          <w:tcPr>
            <w:tcW w:w="0" w:type="auto"/>
            <w:tcMar>
              <w:top w:w="15" w:type="dxa"/>
              <w:left w:w="15" w:type="dxa"/>
              <w:bottom w:w="15" w:type="dxa"/>
              <w:right w:w="15" w:type="dxa"/>
            </w:tcMar>
            <w:vAlign w:val="center"/>
            <w:hideMark/>
          </w:tcPr>
          <w:p w:rsidR="000D1D14" w:rsidRPr="000D1D14" w:rsidRDefault="000D1D14" w:rsidP="000D1D14">
            <w:pPr>
              <w:spacing w:after="0" w:line="240" w:lineRule="auto"/>
            </w:pPr>
            <w:r w:rsidRPr="000D1D14">
              <w:rPr>
                <w:b/>
                <w:bCs/>
              </w:rPr>
              <w:t>2017-2018 YTD Actual through April (10 months)</w:t>
            </w:r>
          </w:p>
        </w:tc>
        <w:tc>
          <w:tcPr>
            <w:tcW w:w="0" w:type="auto"/>
            <w:tcMar>
              <w:top w:w="15" w:type="dxa"/>
              <w:left w:w="15" w:type="dxa"/>
              <w:bottom w:w="15" w:type="dxa"/>
              <w:right w:w="15" w:type="dxa"/>
            </w:tcMar>
            <w:vAlign w:val="center"/>
            <w:hideMark/>
          </w:tcPr>
          <w:p w:rsidR="000D1D14" w:rsidRPr="000D1D14" w:rsidRDefault="000D1D14" w:rsidP="000D1D14">
            <w:pPr>
              <w:spacing w:after="0" w:line="240" w:lineRule="auto"/>
            </w:pPr>
            <w:r w:rsidRPr="000D1D14">
              <w:rPr>
                <w:b/>
                <w:bCs/>
              </w:rPr>
              <w:t>Core Consulting Services</w:t>
            </w:r>
          </w:p>
        </w:tc>
        <w:tc>
          <w:tcPr>
            <w:tcW w:w="0" w:type="auto"/>
            <w:tcMar>
              <w:top w:w="15" w:type="dxa"/>
              <w:left w:w="15" w:type="dxa"/>
              <w:bottom w:w="15" w:type="dxa"/>
              <w:right w:w="15" w:type="dxa"/>
            </w:tcMar>
            <w:vAlign w:val="center"/>
            <w:hideMark/>
          </w:tcPr>
          <w:p w:rsidR="000D1D14" w:rsidRPr="000D1D14" w:rsidRDefault="000D1D14" w:rsidP="000D1D14">
            <w:pPr>
              <w:spacing w:after="0" w:line="240" w:lineRule="auto"/>
            </w:pPr>
            <w:r w:rsidRPr="000D1D14">
              <w:rPr>
                <w:b/>
                <w:bCs/>
              </w:rPr>
              <w:t>2018-2019 Estimated Budget</w:t>
            </w:r>
          </w:p>
        </w:tc>
      </w:tr>
      <w:tr w:rsidR="000D1D14" w:rsidRPr="000D1D14" w:rsidTr="000D1D14">
        <w:trPr>
          <w:tblCellSpacing w:w="15" w:type="dxa"/>
        </w:trPr>
        <w:tc>
          <w:tcPr>
            <w:tcW w:w="0" w:type="auto"/>
            <w:tcMar>
              <w:top w:w="15" w:type="dxa"/>
              <w:left w:w="15" w:type="dxa"/>
              <w:bottom w:w="15" w:type="dxa"/>
              <w:right w:w="198" w:type="dxa"/>
            </w:tcMar>
            <w:vAlign w:val="center"/>
            <w:hideMark/>
          </w:tcPr>
          <w:p w:rsidR="000D1D14" w:rsidRPr="000D1D14" w:rsidRDefault="000D1D14" w:rsidP="000D1D14">
            <w:pPr>
              <w:spacing w:after="0" w:line="240" w:lineRule="auto"/>
            </w:pPr>
            <w:r w:rsidRPr="000D1D14">
              <w:t>$35,000</w:t>
            </w:r>
          </w:p>
        </w:tc>
        <w:tc>
          <w:tcPr>
            <w:tcW w:w="0" w:type="auto"/>
            <w:tcMar>
              <w:top w:w="15" w:type="dxa"/>
              <w:left w:w="15" w:type="dxa"/>
              <w:bottom w:w="15" w:type="dxa"/>
              <w:right w:w="108" w:type="dxa"/>
            </w:tcMar>
            <w:vAlign w:val="center"/>
            <w:hideMark/>
          </w:tcPr>
          <w:p w:rsidR="000D1D14" w:rsidRPr="000D1D14" w:rsidRDefault="000D1D14" w:rsidP="000D1D14">
            <w:pPr>
              <w:spacing w:after="0" w:line="240" w:lineRule="auto"/>
            </w:pPr>
            <w:r w:rsidRPr="000D1D14">
              <w:t xml:space="preserve">$12,758 </w:t>
            </w:r>
            <w:r w:rsidRPr="000D1D14">
              <w:br/>
              <w:t>actual charges</w:t>
            </w:r>
          </w:p>
        </w:tc>
        <w:tc>
          <w:tcPr>
            <w:tcW w:w="0" w:type="auto"/>
            <w:tcMar>
              <w:top w:w="15" w:type="dxa"/>
              <w:left w:w="15" w:type="dxa"/>
              <w:bottom w:w="15" w:type="dxa"/>
              <w:right w:w="15" w:type="dxa"/>
            </w:tcMar>
            <w:vAlign w:val="center"/>
            <w:hideMark/>
          </w:tcPr>
          <w:p w:rsidR="000D1D14" w:rsidRPr="000D1D14" w:rsidRDefault="000D1D14" w:rsidP="000D1D14">
            <w:pPr>
              <w:spacing w:after="0" w:line="240" w:lineRule="auto"/>
            </w:pPr>
            <w:r w:rsidRPr="000D1D14">
              <w:t xml:space="preserve">General Administration: </w:t>
            </w:r>
          </w:p>
          <w:p w:rsidR="000D1D14" w:rsidRPr="000D1D14" w:rsidRDefault="000D1D14" w:rsidP="000D1D14">
            <w:pPr>
              <w:numPr>
                <w:ilvl w:val="0"/>
                <w:numId w:val="1"/>
              </w:numPr>
              <w:spacing w:after="0" w:line="240" w:lineRule="auto"/>
            </w:pPr>
            <w:r w:rsidRPr="000D1D14">
              <w:t>District questions</w:t>
            </w:r>
          </w:p>
          <w:p w:rsidR="000D1D14" w:rsidRPr="000D1D14" w:rsidRDefault="000D1D14" w:rsidP="000D1D14">
            <w:pPr>
              <w:numPr>
                <w:ilvl w:val="0"/>
                <w:numId w:val="1"/>
              </w:numPr>
              <w:spacing w:after="0" w:line="240" w:lineRule="auto"/>
            </w:pPr>
            <w:r w:rsidRPr="000D1D14">
              <w:t>Benefit Clarifications</w:t>
            </w:r>
          </w:p>
          <w:p w:rsidR="000D1D14" w:rsidRPr="000D1D14" w:rsidRDefault="000D1D14" w:rsidP="000D1D14">
            <w:pPr>
              <w:numPr>
                <w:ilvl w:val="0"/>
                <w:numId w:val="1"/>
              </w:numPr>
              <w:spacing w:after="0" w:line="240" w:lineRule="auto"/>
            </w:pPr>
            <w:r w:rsidRPr="000D1D14">
              <w:t>Carrier Follow-up</w:t>
            </w:r>
          </w:p>
          <w:p w:rsidR="000D1D14" w:rsidRPr="000D1D14" w:rsidRDefault="000D1D14" w:rsidP="000D1D14">
            <w:pPr>
              <w:numPr>
                <w:ilvl w:val="0"/>
                <w:numId w:val="1"/>
              </w:numPr>
              <w:spacing w:after="0" w:line="240" w:lineRule="auto"/>
            </w:pPr>
            <w:r w:rsidRPr="000D1D14">
              <w:t>Appeal Research</w:t>
            </w:r>
          </w:p>
          <w:p w:rsidR="000D1D14" w:rsidRPr="000D1D14" w:rsidRDefault="000D1D14" w:rsidP="000D1D14">
            <w:pPr>
              <w:numPr>
                <w:ilvl w:val="0"/>
                <w:numId w:val="1"/>
              </w:numPr>
              <w:spacing w:after="0" w:line="240" w:lineRule="auto"/>
            </w:pPr>
            <w:r w:rsidRPr="000D1D14">
              <w:t>Problem Resolution</w:t>
            </w:r>
          </w:p>
          <w:p w:rsidR="000D1D14" w:rsidRPr="000D1D14" w:rsidRDefault="000D1D14" w:rsidP="000D1D14">
            <w:pPr>
              <w:numPr>
                <w:ilvl w:val="0"/>
                <w:numId w:val="1"/>
              </w:numPr>
              <w:spacing w:after="0" w:line="240" w:lineRule="auto"/>
            </w:pPr>
            <w:r w:rsidRPr="000D1D14">
              <w:t>Monitor Performance Guarantees</w:t>
            </w:r>
          </w:p>
        </w:tc>
        <w:tc>
          <w:tcPr>
            <w:tcW w:w="0" w:type="auto"/>
            <w:tcMar>
              <w:top w:w="15" w:type="dxa"/>
              <w:left w:w="15" w:type="dxa"/>
              <w:bottom w:w="15" w:type="dxa"/>
              <w:right w:w="198" w:type="dxa"/>
            </w:tcMar>
            <w:vAlign w:val="center"/>
            <w:hideMark/>
          </w:tcPr>
          <w:p w:rsidR="000D1D14" w:rsidRPr="000D1D14" w:rsidRDefault="000D1D14" w:rsidP="000D1D14">
            <w:pPr>
              <w:spacing w:after="0" w:line="240" w:lineRule="auto"/>
            </w:pPr>
            <w:r w:rsidRPr="000D1D14">
              <w:t>$35,000</w:t>
            </w:r>
          </w:p>
        </w:tc>
      </w:tr>
      <w:tr w:rsidR="000D1D14" w:rsidRPr="000D1D14" w:rsidTr="000D1D14">
        <w:trPr>
          <w:tblCellSpacing w:w="15" w:type="dxa"/>
        </w:trPr>
        <w:tc>
          <w:tcPr>
            <w:tcW w:w="0" w:type="auto"/>
            <w:tcMar>
              <w:top w:w="15" w:type="dxa"/>
              <w:left w:w="15" w:type="dxa"/>
              <w:bottom w:w="15" w:type="dxa"/>
              <w:right w:w="198" w:type="dxa"/>
            </w:tcMar>
            <w:vAlign w:val="center"/>
            <w:hideMark/>
          </w:tcPr>
          <w:p w:rsidR="000D1D14" w:rsidRPr="000D1D14" w:rsidRDefault="000D1D14" w:rsidP="000D1D14">
            <w:pPr>
              <w:spacing w:after="0" w:line="240" w:lineRule="auto"/>
            </w:pPr>
            <w:r w:rsidRPr="000D1D14">
              <w:t>$30,000 (covered by commissions)</w:t>
            </w:r>
          </w:p>
        </w:tc>
        <w:tc>
          <w:tcPr>
            <w:tcW w:w="0" w:type="auto"/>
            <w:tcMar>
              <w:top w:w="15" w:type="dxa"/>
              <w:left w:w="15" w:type="dxa"/>
              <w:bottom w:w="15" w:type="dxa"/>
              <w:right w:w="108" w:type="dxa"/>
            </w:tcMar>
            <w:vAlign w:val="center"/>
            <w:hideMark/>
          </w:tcPr>
          <w:p w:rsidR="000D1D14" w:rsidRPr="000D1D14" w:rsidRDefault="000D1D14" w:rsidP="000D1D14">
            <w:pPr>
              <w:spacing w:after="0" w:line="240" w:lineRule="auto"/>
            </w:pPr>
            <w:r w:rsidRPr="000D1D14">
              <w:t>$74,945 commissions</w:t>
            </w:r>
            <w:r w:rsidRPr="000D1D14">
              <w:br/>
              <w:t> received</w:t>
            </w:r>
          </w:p>
        </w:tc>
        <w:tc>
          <w:tcPr>
            <w:tcW w:w="0" w:type="auto"/>
            <w:tcMar>
              <w:top w:w="15" w:type="dxa"/>
              <w:left w:w="15" w:type="dxa"/>
              <w:bottom w:w="15" w:type="dxa"/>
              <w:right w:w="15" w:type="dxa"/>
            </w:tcMar>
            <w:vAlign w:val="center"/>
            <w:hideMark/>
          </w:tcPr>
          <w:p w:rsidR="000D1D14" w:rsidRPr="000D1D14" w:rsidRDefault="000D1D14" w:rsidP="000D1D14">
            <w:pPr>
              <w:spacing w:after="0" w:line="240" w:lineRule="auto"/>
            </w:pPr>
            <w:r w:rsidRPr="000D1D14">
              <w:t xml:space="preserve">Renewals/Carrier Relations: </w:t>
            </w:r>
          </w:p>
          <w:p w:rsidR="000D1D14" w:rsidRPr="000D1D14" w:rsidRDefault="000D1D14" w:rsidP="000D1D14">
            <w:pPr>
              <w:numPr>
                <w:ilvl w:val="0"/>
                <w:numId w:val="2"/>
              </w:numPr>
              <w:spacing w:after="0" w:line="240" w:lineRule="auto"/>
            </w:pPr>
            <w:r w:rsidRPr="000D1D14">
              <w:t>Evaluate Cost Containment</w:t>
            </w:r>
          </w:p>
          <w:p w:rsidR="000D1D14" w:rsidRPr="000D1D14" w:rsidRDefault="000D1D14" w:rsidP="000D1D14">
            <w:pPr>
              <w:numPr>
                <w:ilvl w:val="0"/>
                <w:numId w:val="2"/>
              </w:numPr>
              <w:spacing w:after="0" w:line="240" w:lineRule="auto"/>
            </w:pPr>
            <w:r w:rsidRPr="000D1D14">
              <w:t>Negotiate Preferred Rates and Contract Terms</w:t>
            </w:r>
          </w:p>
          <w:p w:rsidR="000D1D14" w:rsidRPr="000D1D14" w:rsidRDefault="000D1D14" w:rsidP="000D1D14">
            <w:pPr>
              <w:numPr>
                <w:ilvl w:val="0"/>
                <w:numId w:val="2"/>
              </w:numPr>
              <w:spacing w:after="0" w:line="240" w:lineRule="auto"/>
            </w:pPr>
            <w:r w:rsidRPr="000D1D14">
              <w:t>Renewal Rate Analysis</w:t>
            </w:r>
          </w:p>
          <w:p w:rsidR="000D1D14" w:rsidRPr="000D1D14" w:rsidRDefault="000D1D14" w:rsidP="000D1D14">
            <w:pPr>
              <w:numPr>
                <w:ilvl w:val="0"/>
                <w:numId w:val="2"/>
              </w:numPr>
              <w:spacing w:after="0" w:line="240" w:lineRule="auto"/>
            </w:pPr>
            <w:r w:rsidRPr="000D1D14">
              <w:t>Create Renewal Report</w:t>
            </w:r>
          </w:p>
        </w:tc>
        <w:tc>
          <w:tcPr>
            <w:tcW w:w="0" w:type="auto"/>
            <w:tcMar>
              <w:top w:w="15" w:type="dxa"/>
              <w:left w:w="15" w:type="dxa"/>
              <w:bottom w:w="15" w:type="dxa"/>
              <w:right w:w="198" w:type="dxa"/>
            </w:tcMar>
            <w:vAlign w:val="center"/>
            <w:hideMark/>
          </w:tcPr>
          <w:p w:rsidR="000D1D14" w:rsidRPr="000D1D14" w:rsidRDefault="000D1D14" w:rsidP="000D1D14">
            <w:pPr>
              <w:spacing w:after="0" w:line="240" w:lineRule="auto"/>
            </w:pPr>
            <w:r w:rsidRPr="000D1D14">
              <w:t>$30,000 (covered by commissions)</w:t>
            </w:r>
          </w:p>
        </w:tc>
      </w:tr>
      <w:tr w:rsidR="000D1D14" w:rsidRPr="000D1D14" w:rsidTr="000D1D14">
        <w:trPr>
          <w:tblCellSpacing w:w="15" w:type="dxa"/>
        </w:trPr>
        <w:tc>
          <w:tcPr>
            <w:tcW w:w="0" w:type="auto"/>
            <w:tcMar>
              <w:top w:w="15" w:type="dxa"/>
              <w:left w:w="15" w:type="dxa"/>
              <w:bottom w:w="15" w:type="dxa"/>
              <w:right w:w="198" w:type="dxa"/>
            </w:tcMar>
            <w:vAlign w:val="center"/>
            <w:hideMark/>
          </w:tcPr>
          <w:p w:rsidR="000D1D14" w:rsidRPr="000D1D14" w:rsidRDefault="000D1D14" w:rsidP="000D1D14">
            <w:pPr>
              <w:spacing w:after="0" w:line="240" w:lineRule="auto"/>
            </w:pPr>
            <w:r w:rsidRPr="000D1D14">
              <w:t>$25,000 (covered by commissions)</w:t>
            </w:r>
          </w:p>
        </w:tc>
        <w:tc>
          <w:tcPr>
            <w:tcW w:w="0" w:type="auto"/>
            <w:tcMar>
              <w:top w:w="15" w:type="dxa"/>
              <w:left w:w="15" w:type="dxa"/>
              <w:bottom w:w="15" w:type="dxa"/>
              <w:right w:w="108" w:type="dxa"/>
            </w:tcMar>
            <w:vAlign w:val="center"/>
            <w:hideMark/>
          </w:tcPr>
          <w:p w:rsidR="000D1D14" w:rsidRPr="000D1D14" w:rsidRDefault="000D1D14" w:rsidP="000D1D14">
            <w:pPr>
              <w:spacing w:after="0" w:line="240" w:lineRule="auto"/>
            </w:pPr>
            <w:r w:rsidRPr="000D1D14">
              <w:t>Included in commissions received above</w:t>
            </w:r>
          </w:p>
        </w:tc>
        <w:tc>
          <w:tcPr>
            <w:tcW w:w="0" w:type="auto"/>
            <w:tcMar>
              <w:top w:w="15" w:type="dxa"/>
              <w:left w:w="15" w:type="dxa"/>
              <w:bottom w:w="15" w:type="dxa"/>
              <w:right w:w="15" w:type="dxa"/>
            </w:tcMar>
            <w:vAlign w:val="center"/>
            <w:hideMark/>
          </w:tcPr>
          <w:p w:rsidR="000D1D14" w:rsidRPr="000D1D14" w:rsidRDefault="000D1D14" w:rsidP="000D1D14">
            <w:pPr>
              <w:spacing w:after="0" w:line="240" w:lineRule="auto"/>
            </w:pPr>
            <w:r w:rsidRPr="000D1D14">
              <w:t xml:space="preserve">Consultant Meetings: </w:t>
            </w:r>
          </w:p>
          <w:p w:rsidR="000D1D14" w:rsidRPr="000D1D14" w:rsidRDefault="000D1D14" w:rsidP="000D1D14">
            <w:pPr>
              <w:numPr>
                <w:ilvl w:val="0"/>
                <w:numId w:val="3"/>
              </w:numPr>
              <w:spacing w:after="0" w:line="240" w:lineRule="auto"/>
            </w:pPr>
            <w:r w:rsidRPr="000D1D14">
              <w:t>Preparation for and Attendance at Trust Meetings</w:t>
            </w:r>
          </w:p>
          <w:p w:rsidR="000D1D14" w:rsidRPr="000D1D14" w:rsidRDefault="000D1D14" w:rsidP="000D1D14">
            <w:pPr>
              <w:numPr>
                <w:ilvl w:val="0"/>
                <w:numId w:val="3"/>
              </w:numPr>
              <w:spacing w:after="0" w:line="240" w:lineRule="auto"/>
            </w:pPr>
            <w:r w:rsidRPr="000D1D14">
              <w:t>Participate in medical carrier annual or bi-annual cost and utilization meetings</w:t>
            </w:r>
          </w:p>
          <w:p w:rsidR="000D1D14" w:rsidRPr="000D1D14" w:rsidRDefault="000D1D14" w:rsidP="000D1D14">
            <w:pPr>
              <w:numPr>
                <w:ilvl w:val="0"/>
                <w:numId w:val="3"/>
              </w:numPr>
              <w:spacing w:after="0" w:line="240" w:lineRule="auto"/>
            </w:pPr>
            <w:r w:rsidRPr="000D1D14">
              <w:t>Project Management</w:t>
            </w:r>
          </w:p>
        </w:tc>
        <w:tc>
          <w:tcPr>
            <w:tcW w:w="0" w:type="auto"/>
            <w:tcMar>
              <w:top w:w="15" w:type="dxa"/>
              <w:left w:w="15" w:type="dxa"/>
              <w:bottom w:w="15" w:type="dxa"/>
              <w:right w:w="198" w:type="dxa"/>
            </w:tcMar>
            <w:vAlign w:val="center"/>
            <w:hideMark/>
          </w:tcPr>
          <w:p w:rsidR="000D1D14" w:rsidRPr="000D1D14" w:rsidRDefault="000D1D14" w:rsidP="000D1D14">
            <w:pPr>
              <w:spacing w:after="0" w:line="240" w:lineRule="auto"/>
            </w:pPr>
            <w:r w:rsidRPr="000D1D14">
              <w:t>$25,000 (covered by commissions)</w:t>
            </w:r>
          </w:p>
        </w:tc>
      </w:tr>
      <w:tr w:rsidR="000D1D14" w:rsidRPr="000D1D14" w:rsidTr="000D1D14">
        <w:trPr>
          <w:tblCellSpacing w:w="15" w:type="dxa"/>
        </w:trPr>
        <w:tc>
          <w:tcPr>
            <w:tcW w:w="0" w:type="auto"/>
            <w:tcMar>
              <w:top w:w="15" w:type="dxa"/>
              <w:left w:w="15" w:type="dxa"/>
              <w:bottom w:w="15" w:type="dxa"/>
              <w:right w:w="198" w:type="dxa"/>
            </w:tcMar>
            <w:vAlign w:val="center"/>
            <w:hideMark/>
          </w:tcPr>
          <w:p w:rsidR="000D1D14" w:rsidRPr="000D1D14" w:rsidRDefault="000D1D14" w:rsidP="000D1D14">
            <w:pPr>
              <w:spacing w:after="0" w:line="240" w:lineRule="auto"/>
            </w:pPr>
            <w:r w:rsidRPr="000D1D14">
              <w:t>$25,000 (covered by commissions)</w:t>
            </w:r>
          </w:p>
        </w:tc>
        <w:tc>
          <w:tcPr>
            <w:tcW w:w="0" w:type="auto"/>
            <w:tcMar>
              <w:top w:w="15" w:type="dxa"/>
              <w:left w:w="15" w:type="dxa"/>
              <w:bottom w:w="15" w:type="dxa"/>
              <w:right w:w="108" w:type="dxa"/>
            </w:tcMar>
            <w:vAlign w:val="center"/>
            <w:hideMark/>
          </w:tcPr>
          <w:p w:rsidR="000D1D14" w:rsidRPr="000D1D14" w:rsidRDefault="000D1D14" w:rsidP="000D1D14">
            <w:pPr>
              <w:spacing w:after="0" w:line="240" w:lineRule="auto"/>
            </w:pPr>
            <w:r w:rsidRPr="000D1D14">
              <w:t>Included in commissions received above</w:t>
            </w:r>
          </w:p>
        </w:tc>
        <w:tc>
          <w:tcPr>
            <w:tcW w:w="0" w:type="auto"/>
            <w:tcMar>
              <w:top w:w="15" w:type="dxa"/>
              <w:left w:w="15" w:type="dxa"/>
              <w:bottom w:w="15" w:type="dxa"/>
              <w:right w:w="15" w:type="dxa"/>
            </w:tcMar>
            <w:vAlign w:val="center"/>
            <w:hideMark/>
          </w:tcPr>
          <w:p w:rsidR="000D1D14" w:rsidRPr="000D1D14" w:rsidRDefault="000D1D14" w:rsidP="000D1D14">
            <w:pPr>
              <w:spacing w:after="0" w:line="240" w:lineRule="auto"/>
            </w:pPr>
            <w:r w:rsidRPr="000D1D14">
              <w:t xml:space="preserve">Financial Services: </w:t>
            </w:r>
          </w:p>
          <w:p w:rsidR="000D1D14" w:rsidRPr="000D1D14" w:rsidRDefault="000D1D14" w:rsidP="000D1D14">
            <w:pPr>
              <w:numPr>
                <w:ilvl w:val="0"/>
                <w:numId w:val="4"/>
              </w:numPr>
              <w:spacing w:after="0" w:line="240" w:lineRule="auto"/>
            </w:pPr>
            <w:r w:rsidRPr="000D1D14">
              <w:t>Benefit Cost Impact</w:t>
            </w:r>
          </w:p>
          <w:p w:rsidR="000D1D14" w:rsidRPr="000D1D14" w:rsidRDefault="000D1D14" w:rsidP="000D1D14">
            <w:pPr>
              <w:numPr>
                <w:ilvl w:val="0"/>
                <w:numId w:val="4"/>
              </w:numPr>
              <w:spacing w:after="0" w:line="240" w:lineRule="auto"/>
            </w:pPr>
            <w:r w:rsidRPr="000D1D14">
              <w:t>Cost and Contribution Calculations</w:t>
            </w:r>
          </w:p>
          <w:p w:rsidR="000D1D14" w:rsidRPr="000D1D14" w:rsidRDefault="000D1D14" w:rsidP="000D1D14">
            <w:pPr>
              <w:numPr>
                <w:ilvl w:val="0"/>
                <w:numId w:val="4"/>
              </w:numPr>
              <w:spacing w:after="0" w:line="240" w:lineRule="auto"/>
            </w:pPr>
            <w:r w:rsidRPr="000D1D14">
              <w:t>Prepare Premium and COBRA Rate Calculations</w:t>
            </w:r>
          </w:p>
          <w:p w:rsidR="000D1D14" w:rsidRPr="000D1D14" w:rsidRDefault="000D1D14" w:rsidP="000D1D14">
            <w:pPr>
              <w:numPr>
                <w:ilvl w:val="0"/>
                <w:numId w:val="4"/>
              </w:numPr>
              <w:spacing w:after="0" w:line="240" w:lineRule="auto"/>
            </w:pPr>
            <w:r w:rsidRPr="000D1D14">
              <w:t>Prepare and provide regular experience reporting for insured medical and vision plans</w:t>
            </w:r>
          </w:p>
        </w:tc>
        <w:tc>
          <w:tcPr>
            <w:tcW w:w="0" w:type="auto"/>
            <w:tcMar>
              <w:top w:w="15" w:type="dxa"/>
              <w:left w:w="15" w:type="dxa"/>
              <w:bottom w:w="15" w:type="dxa"/>
              <w:right w:w="198" w:type="dxa"/>
            </w:tcMar>
            <w:vAlign w:val="center"/>
            <w:hideMark/>
          </w:tcPr>
          <w:p w:rsidR="000D1D14" w:rsidRPr="000D1D14" w:rsidRDefault="000D1D14" w:rsidP="000D1D14">
            <w:pPr>
              <w:spacing w:after="0" w:line="240" w:lineRule="auto"/>
            </w:pPr>
            <w:r w:rsidRPr="000D1D14">
              <w:t>$25,000 (covered by commissions)</w:t>
            </w:r>
          </w:p>
        </w:tc>
      </w:tr>
      <w:tr w:rsidR="000D1D14" w:rsidRPr="000D1D14" w:rsidTr="000D1D14">
        <w:trPr>
          <w:tblCellSpacing w:w="15" w:type="dxa"/>
        </w:trPr>
        <w:tc>
          <w:tcPr>
            <w:tcW w:w="0" w:type="auto"/>
            <w:tcMar>
              <w:top w:w="15" w:type="dxa"/>
              <w:left w:w="15" w:type="dxa"/>
              <w:bottom w:w="15" w:type="dxa"/>
              <w:right w:w="198" w:type="dxa"/>
            </w:tcMar>
            <w:vAlign w:val="center"/>
            <w:hideMark/>
          </w:tcPr>
          <w:p w:rsidR="000D1D14" w:rsidRPr="000D1D14" w:rsidRDefault="000D1D14" w:rsidP="000D1D14">
            <w:pPr>
              <w:spacing w:after="0" w:line="240" w:lineRule="auto"/>
            </w:pPr>
            <w:r w:rsidRPr="000D1D14">
              <w:t>$10,000</w:t>
            </w:r>
          </w:p>
        </w:tc>
        <w:tc>
          <w:tcPr>
            <w:tcW w:w="0" w:type="auto"/>
            <w:tcMar>
              <w:top w:w="15" w:type="dxa"/>
              <w:left w:w="15" w:type="dxa"/>
              <w:bottom w:w="15" w:type="dxa"/>
              <w:right w:w="108" w:type="dxa"/>
            </w:tcMar>
            <w:vAlign w:val="center"/>
            <w:hideMark/>
          </w:tcPr>
          <w:p w:rsidR="000D1D14" w:rsidRPr="000D1D14" w:rsidRDefault="000D1D14" w:rsidP="000D1D14">
            <w:pPr>
              <w:spacing w:after="0" w:line="240" w:lineRule="auto"/>
            </w:pPr>
            <w:r w:rsidRPr="000D1D14">
              <w:t>Included in actual charges above</w:t>
            </w:r>
          </w:p>
        </w:tc>
        <w:tc>
          <w:tcPr>
            <w:tcW w:w="0" w:type="auto"/>
            <w:tcMar>
              <w:top w:w="15" w:type="dxa"/>
              <w:left w:w="15" w:type="dxa"/>
              <w:bottom w:w="15" w:type="dxa"/>
              <w:right w:w="15" w:type="dxa"/>
            </w:tcMar>
            <w:vAlign w:val="center"/>
            <w:hideMark/>
          </w:tcPr>
          <w:p w:rsidR="000D1D14" w:rsidRPr="000D1D14" w:rsidRDefault="000D1D14" w:rsidP="000D1D14">
            <w:pPr>
              <w:spacing w:after="0" w:line="240" w:lineRule="auto"/>
            </w:pPr>
            <w:r w:rsidRPr="000D1D14">
              <w:t xml:space="preserve">Plan Review: </w:t>
            </w:r>
          </w:p>
          <w:p w:rsidR="000D1D14" w:rsidRPr="000D1D14" w:rsidRDefault="000D1D14" w:rsidP="000D1D14">
            <w:pPr>
              <w:numPr>
                <w:ilvl w:val="0"/>
                <w:numId w:val="5"/>
              </w:numPr>
              <w:spacing w:after="0" w:line="240" w:lineRule="auto"/>
            </w:pPr>
            <w:r w:rsidRPr="000D1D14">
              <w:t>Contract Review</w:t>
            </w:r>
          </w:p>
          <w:p w:rsidR="000D1D14" w:rsidRPr="000D1D14" w:rsidRDefault="000D1D14" w:rsidP="000D1D14">
            <w:pPr>
              <w:numPr>
                <w:ilvl w:val="0"/>
                <w:numId w:val="5"/>
              </w:numPr>
              <w:spacing w:after="0" w:line="240" w:lineRule="auto"/>
            </w:pPr>
            <w:r w:rsidRPr="000D1D14">
              <w:t>Benefit Summary Review</w:t>
            </w:r>
          </w:p>
          <w:p w:rsidR="000D1D14" w:rsidRPr="000D1D14" w:rsidRDefault="000D1D14" w:rsidP="000D1D14">
            <w:pPr>
              <w:numPr>
                <w:ilvl w:val="0"/>
                <w:numId w:val="5"/>
              </w:numPr>
              <w:spacing w:after="0" w:line="240" w:lineRule="auto"/>
            </w:pPr>
            <w:r w:rsidRPr="000D1D14">
              <w:t>Compliance Reviews</w:t>
            </w:r>
          </w:p>
        </w:tc>
        <w:tc>
          <w:tcPr>
            <w:tcW w:w="0" w:type="auto"/>
            <w:tcMar>
              <w:top w:w="15" w:type="dxa"/>
              <w:left w:w="15" w:type="dxa"/>
              <w:bottom w:w="15" w:type="dxa"/>
              <w:right w:w="198" w:type="dxa"/>
            </w:tcMar>
            <w:vAlign w:val="center"/>
            <w:hideMark/>
          </w:tcPr>
          <w:p w:rsidR="000D1D14" w:rsidRPr="000D1D14" w:rsidRDefault="000D1D14" w:rsidP="000D1D14">
            <w:pPr>
              <w:spacing w:after="0" w:line="240" w:lineRule="auto"/>
            </w:pPr>
            <w:r w:rsidRPr="000D1D14">
              <w:t>$10,000</w:t>
            </w:r>
          </w:p>
        </w:tc>
      </w:tr>
      <w:tr w:rsidR="000D1D14" w:rsidRPr="000D1D14" w:rsidTr="000D1D14">
        <w:trPr>
          <w:tblCellSpacing w:w="15" w:type="dxa"/>
        </w:trPr>
        <w:tc>
          <w:tcPr>
            <w:tcW w:w="0" w:type="auto"/>
            <w:tcMar>
              <w:top w:w="15" w:type="dxa"/>
              <w:left w:w="15" w:type="dxa"/>
              <w:bottom w:w="15" w:type="dxa"/>
              <w:right w:w="198" w:type="dxa"/>
            </w:tcMar>
            <w:vAlign w:val="center"/>
            <w:hideMark/>
          </w:tcPr>
          <w:p w:rsidR="000D1D14" w:rsidRPr="000D1D14" w:rsidRDefault="000D1D14" w:rsidP="000D1D14">
            <w:pPr>
              <w:spacing w:after="0" w:line="240" w:lineRule="auto"/>
            </w:pPr>
            <w:r w:rsidRPr="000D1D14">
              <w:rPr>
                <w:b/>
                <w:bCs/>
              </w:rPr>
              <w:t>$125,000</w:t>
            </w:r>
          </w:p>
        </w:tc>
        <w:tc>
          <w:tcPr>
            <w:tcW w:w="0" w:type="auto"/>
            <w:tcMar>
              <w:top w:w="15" w:type="dxa"/>
              <w:left w:w="15" w:type="dxa"/>
              <w:bottom w:w="15" w:type="dxa"/>
              <w:right w:w="108" w:type="dxa"/>
            </w:tcMar>
            <w:vAlign w:val="center"/>
            <w:hideMark/>
          </w:tcPr>
          <w:p w:rsidR="000D1D14" w:rsidRPr="000D1D14" w:rsidRDefault="000D1D14" w:rsidP="000D1D14">
            <w:pPr>
              <w:spacing w:after="0" w:line="240" w:lineRule="auto"/>
            </w:pPr>
            <w:r w:rsidRPr="000D1D14">
              <w:rPr>
                <w:b/>
                <w:bCs/>
              </w:rPr>
              <w:t>$87,703</w:t>
            </w:r>
          </w:p>
        </w:tc>
        <w:tc>
          <w:tcPr>
            <w:tcW w:w="0" w:type="auto"/>
            <w:tcMar>
              <w:top w:w="15" w:type="dxa"/>
              <w:left w:w="15" w:type="dxa"/>
              <w:bottom w:w="15" w:type="dxa"/>
              <w:right w:w="15" w:type="dxa"/>
            </w:tcMar>
            <w:vAlign w:val="center"/>
            <w:hideMark/>
          </w:tcPr>
          <w:p w:rsidR="000D1D14" w:rsidRPr="000D1D14" w:rsidRDefault="000D1D14" w:rsidP="000D1D14">
            <w:pPr>
              <w:spacing w:after="0" w:line="240" w:lineRule="auto"/>
            </w:pPr>
            <w:r w:rsidRPr="000D1D14">
              <w:rPr>
                <w:b/>
                <w:bCs/>
              </w:rPr>
              <w:t>Total</w:t>
            </w:r>
          </w:p>
        </w:tc>
        <w:tc>
          <w:tcPr>
            <w:tcW w:w="0" w:type="auto"/>
            <w:tcMar>
              <w:top w:w="15" w:type="dxa"/>
              <w:left w:w="15" w:type="dxa"/>
              <w:bottom w:w="15" w:type="dxa"/>
              <w:right w:w="198" w:type="dxa"/>
            </w:tcMar>
            <w:vAlign w:val="center"/>
            <w:hideMark/>
          </w:tcPr>
          <w:p w:rsidR="000D1D14" w:rsidRPr="000D1D14" w:rsidRDefault="000D1D14" w:rsidP="000D1D14">
            <w:pPr>
              <w:spacing w:after="0" w:line="240" w:lineRule="auto"/>
            </w:pPr>
            <w:r w:rsidRPr="000D1D14">
              <w:rPr>
                <w:b/>
                <w:bCs/>
              </w:rPr>
              <w:t>$125,000</w:t>
            </w:r>
          </w:p>
        </w:tc>
      </w:tr>
    </w:tbl>
    <w:p w:rsidR="000D1D14" w:rsidRPr="000D1D14" w:rsidRDefault="000D1D14" w:rsidP="000D1D14">
      <w:pPr>
        <w:spacing w:after="0" w:line="240" w:lineRule="auto"/>
        <w:rPr>
          <w:sz w:val="6"/>
        </w:rPr>
      </w:pPr>
    </w:p>
    <w:p w:rsidR="000D1D14" w:rsidRPr="000D1D14" w:rsidRDefault="000D1D14" w:rsidP="000D1D14">
      <w:pPr>
        <w:spacing w:after="0" w:line="240" w:lineRule="auto"/>
      </w:pPr>
      <w:r w:rsidRPr="000D1D14">
        <w:t>Please let me know if you have any questions.</w:t>
      </w:r>
    </w:p>
    <w:p w:rsidR="000D1D14" w:rsidRPr="000D1D14" w:rsidRDefault="000D1D14" w:rsidP="000D1D14">
      <w:pPr>
        <w:spacing w:after="0" w:line="240" w:lineRule="auto"/>
      </w:pPr>
      <w:r w:rsidRPr="000D1D14">
        <w:t>Thanks,</w:t>
      </w:r>
    </w:p>
    <w:p w:rsidR="000D1D14" w:rsidRPr="000D1D14" w:rsidRDefault="000D1D14" w:rsidP="000D1D14">
      <w:pPr>
        <w:spacing w:after="0" w:line="240" w:lineRule="auto"/>
      </w:pPr>
      <w:r w:rsidRPr="000D1D14">
        <w:t>Sean</w:t>
      </w:r>
      <w:bookmarkStart w:id="0" w:name="_GoBack"/>
      <w:bookmarkEnd w:id="0"/>
    </w:p>
    <w:sectPr w:rsidR="000D1D14" w:rsidRPr="000D1D14" w:rsidSect="000D1D1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B4A3A"/>
    <w:multiLevelType w:val="multilevel"/>
    <w:tmpl w:val="96BE8A5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17B93679"/>
    <w:multiLevelType w:val="multilevel"/>
    <w:tmpl w:val="1C08AA74"/>
    <w:lvl w:ilvl="0">
      <w:start w:val="1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56AE2637"/>
    <w:multiLevelType w:val="multilevel"/>
    <w:tmpl w:val="92703586"/>
    <w:lvl w:ilvl="0">
      <w:start w:val="1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57745386"/>
    <w:multiLevelType w:val="multilevel"/>
    <w:tmpl w:val="08620B0C"/>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73BE196F"/>
    <w:multiLevelType w:val="multilevel"/>
    <w:tmpl w:val="BD9EE3E2"/>
    <w:lvl w:ilvl="0">
      <w:start w:val="18"/>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14"/>
    <w:rsid w:val="000D1D14"/>
    <w:rsid w:val="00172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2DCB"/>
  <w15:chartTrackingRefBased/>
  <w15:docId w15:val="{F5FF6A6B-FE21-455D-91EA-544CD23F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1D14"/>
    <w:rPr>
      <w:color w:val="0563C1" w:themeColor="hyperlink"/>
      <w:u w:val="single"/>
    </w:rPr>
  </w:style>
  <w:style w:type="character" w:styleId="UnresolvedMention">
    <w:name w:val="Unresolved Mention"/>
    <w:basedOn w:val="DefaultParagraphFont"/>
    <w:uiPriority w:val="99"/>
    <w:semiHidden/>
    <w:unhideWhenUsed/>
    <w:rsid w:val="000D1D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731476">
      <w:bodyDiv w:val="1"/>
      <w:marLeft w:val="0"/>
      <w:marRight w:val="0"/>
      <w:marTop w:val="0"/>
      <w:marBottom w:val="0"/>
      <w:divBdr>
        <w:top w:val="none" w:sz="0" w:space="0" w:color="auto"/>
        <w:left w:val="none" w:sz="0" w:space="0" w:color="auto"/>
        <w:bottom w:val="none" w:sz="0" w:space="0" w:color="auto"/>
        <w:right w:val="none" w:sz="0" w:space="0" w:color="auto"/>
      </w:divBdr>
    </w:div>
    <w:div w:id="208548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Newcomb, Kellee J.</dc:creator>
  <cp:keywords/>
  <dc:description/>
  <cp:lastModifiedBy>Newcomb, Kellee J.</cp:lastModifiedBy>
  <cp:revision>1</cp:revision>
  <dcterms:created xsi:type="dcterms:W3CDTF">2018-05-14T18:47:00Z</dcterms:created>
  <dcterms:modified xsi:type="dcterms:W3CDTF">2018-05-14T18:52:00Z</dcterms:modified>
</cp:coreProperties>
</file>