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90E" w:rsidRDefault="00C8690E">
      <w:bookmarkStart w:id="0" w:name="_GoBack"/>
      <w:bookmarkEnd w:id="0"/>
    </w:p>
    <w:p w:rsidR="002205B6" w:rsidRPr="0006324B" w:rsidRDefault="002205B6">
      <w:pPr>
        <w:rPr>
          <w:rFonts w:cstheme="minorHAnsi"/>
          <w:b/>
          <w:sz w:val="24"/>
          <w:szCs w:val="24"/>
          <w:u w:val="single"/>
        </w:rPr>
      </w:pPr>
      <w:r w:rsidRPr="0006324B">
        <w:rPr>
          <w:rFonts w:cstheme="minorHAnsi"/>
          <w:b/>
          <w:sz w:val="24"/>
          <w:szCs w:val="24"/>
          <w:u w:val="single"/>
        </w:rPr>
        <w:t>SEBB Open enrollment</w:t>
      </w:r>
      <w:r w:rsidR="00C8690E" w:rsidRPr="0006324B">
        <w:rPr>
          <w:rFonts w:cstheme="minorHAnsi"/>
          <w:b/>
          <w:sz w:val="24"/>
          <w:szCs w:val="24"/>
          <w:u w:val="single"/>
        </w:rPr>
        <w:t xml:space="preserve"> summary for Trust meeting November 20, 2019</w:t>
      </w:r>
    </w:p>
    <w:p w:rsidR="0006324B" w:rsidRPr="0006324B" w:rsidRDefault="0006324B">
      <w:pPr>
        <w:rPr>
          <w:rFonts w:cstheme="minorHAnsi"/>
          <w:sz w:val="24"/>
          <w:szCs w:val="24"/>
        </w:rPr>
      </w:pPr>
    </w:p>
    <w:p w:rsidR="002205B6" w:rsidRPr="0006324B" w:rsidRDefault="002205B6">
      <w:pPr>
        <w:rPr>
          <w:rFonts w:cstheme="minorHAnsi"/>
          <w:color w:val="323232"/>
          <w:sz w:val="24"/>
          <w:szCs w:val="24"/>
        </w:rPr>
      </w:pPr>
      <w:r w:rsidRPr="0006324B">
        <w:rPr>
          <w:rFonts w:cstheme="minorHAnsi"/>
          <w:color w:val="323232"/>
          <w:sz w:val="24"/>
          <w:szCs w:val="24"/>
        </w:rPr>
        <w:t>According to the Health Care Authority, statewide about 140,000 school employees and tens of thousands of their dependents across the state will be enrolled in high-quality, affordable health care coverage and other benefits.</w:t>
      </w:r>
    </w:p>
    <w:p w:rsidR="002205B6" w:rsidRPr="0006324B" w:rsidRDefault="002205B6">
      <w:pPr>
        <w:rPr>
          <w:rFonts w:cstheme="minorHAnsi"/>
          <w:color w:val="323232"/>
          <w:sz w:val="24"/>
          <w:szCs w:val="24"/>
        </w:rPr>
      </w:pPr>
      <w:r w:rsidRPr="0006324B">
        <w:rPr>
          <w:rFonts w:cstheme="minorHAnsi"/>
          <w:color w:val="323232"/>
          <w:sz w:val="24"/>
          <w:szCs w:val="24"/>
        </w:rPr>
        <w:t>In Everett</w:t>
      </w:r>
      <w:r w:rsidR="00DB5041" w:rsidRPr="0006324B">
        <w:rPr>
          <w:rFonts w:cstheme="minorHAnsi"/>
          <w:color w:val="323232"/>
          <w:sz w:val="24"/>
          <w:szCs w:val="24"/>
        </w:rPr>
        <w:t>:</w:t>
      </w:r>
      <w:r w:rsidRPr="0006324B">
        <w:rPr>
          <w:rFonts w:cstheme="minorHAnsi"/>
          <w:color w:val="323232"/>
          <w:sz w:val="24"/>
          <w:szCs w:val="24"/>
        </w:rPr>
        <w:t xml:space="preserve"> </w:t>
      </w:r>
    </w:p>
    <w:p w:rsidR="002205B6" w:rsidRPr="0006324B" w:rsidRDefault="0058691D">
      <w:pPr>
        <w:rPr>
          <w:rFonts w:cstheme="minorHAnsi"/>
          <w:color w:val="323232"/>
          <w:sz w:val="24"/>
          <w:szCs w:val="24"/>
        </w:rPr>
      </w:pPr>
      <w:r w:rsidRPr="0006324B">
        <w:rPr>
          <w:rFonts w:cstheme="minorHAnsi"/>
          <w:color w:val="323232"/>
          <w:sz w:val="24"/>
          <w:szCs w:val="24"/>
        </w:rPr>
        <w:t>2,532 employees were initially eligible for SEBB</w:t>
      </w:r>
    </w:p>
    <w:p w:rsidR="0058691D" w:rsidRPr="0006324B" w:rsidRDefault="0058691D">
      <w:pPr>
        <w:rPr>
          <w:rFonts w:cstheme="minorHAnsi"/>
          <w:color w:val="323232"/>
          <w:sz w:val="24"/>
          <w:szCs w:val="24"/>
        </w:rPr>
      </w:pPr>
      <w:r w:rsidRPr="0006324B">
        <w:rPr>
          <w:rFonts w:cstheme="minorHAnsi"/>
          <w:color w:val="323232"/>
          <w:sz w:val="24"/>
          <w:szCs w:val="24"/>
        </w:rPr>
        <w:t>2,56</w:t>
      </w:r>
      <w:r w:rsidR="00DB5041" w:rsidRPr="0006324B">
        <w:rPr>
          <w:rFonts w:cstheme="minorHAnsi"/>
          <w:color w:val="323232"/>
          <w:sz w:val="24"/>
          <w:szCs w:val="24"/>
        </w:rPr>
        <w:t>5</w:t>
      </w:r>
      <w:r w:rsidRPr="0006324B">
        <w:rPr>
          <w:rFonts w:cstheme="minorHAnsi"/>
          <w:color w:val="323232"/>
          <w:sz w:val="24"/>
          <w:szCs w:val="24"/>
        </w:rPr>
        <w:t xml:space="preserve"> employees ultimately enrolled (adjusted for new hires</w:t>
      </w:r>
      <w:r w:rsidR="00DB5041" w:rsidRPr="0006324B">
        <w:rPr>
          <w:rFonts w:cstheme="minorHAnsi"/>
          <w:color w:val="323232"/>
          <w:sz w:val="24"/>
          <w:szCs w:val="24"/>
        </w:rPr>
        <w:t xml:space="preserve"> and newly eligible</w:t>
      </w:r>
      <w:r w:rsidRPr="0006324B">
        <w:rPr>
          <w:rFonts w:cstheme="minorHAnsi"/>
          <w:color w:val="323232"/>
          <w:sz w:val="24"/>
          <w:szCs w:val="24"/>
        </w:rPr>
        <w:t>)</w:t>
      </w:r>
    </w:p>
    <w:p w:rsidR="0058691D" w:rsidRPr="0006324B" w:rsidRDefault="0058691D">
      <w:pPr>
        <w:rPr>
          <w:rFonts w:cstheme="minorHAnsi"/>
          <w:color w:val="323232"/>
          <w:sz w:val="24"/>
          <w:szCs w:val="24"/>
        </w:rPr>
      </w:pPr>
      <w:r w:rsidRPr="0006324B">
        <w:rPr>
          <w:rFonts w:cstheme="minorHAnsi"/>
          <w:color w:val="323232"/>
          <w:sz w:val="24"/>
          <w:szCs w:val="24"/>
        </w:rPr>
        <w:t xml:space="preserve">3,354 dependents were enrolled </w:t>
      </w:r>
    </w:p>
    <w:p w:rsidR="0058691D" w:rsidRPr="0006324B" w:rsidRDefault="0058691D">
      <w:pPr>
        <w:rPr>
          <w:rFonts w:cstheme="minorHAnsi"/>
          <w:color w:val="323232"/>
          <w:sz w:val="24"/>
          <w:szCs w:val="24"/>
        </w:rPr>
      </w:pPr>
      <w:r w:rsidRPr="0006324B">
        <w:rPr>
          <w:rFonts w:cstheme="minorHAnsi"/>
          <w:color w:val="323232"/>
          <w:sz w:val="24"/>
          <w:szCs w:val="24"/>
        </w:rPr>
        <w:t xml:space="preserve">11 open </w:t>
      </w:r>
      <w:proofErr w:type="gramStart"/>
      <w:r w:rsidRPr="0006324B">
        <w:rPr>
          <w:rFonts w:cstheme="minorHAnsi"/>
          <w:color w:val="323232"/>
          <w:sz w:val="24"/>
          <w:szCs w:val="24"/>
        </w:rPr>
        <w:t>enrollment</w:t>
      </w:r>
      <w:proofErr w:type="gramEnd"/>
      <w:r w:rsidRPr="0006324B">
        <w:rPr>
          <w:rFonts w:cstheme="minorHAnsi"/>
          <w:color w:val="323232"/>
          <w:sz w:val="24"/>
          <w:szCs w:val="24"/>
        </w:rPr>
        <w:t xml:space="preserve"> help sessions were conducted </w:t>
      </w:r>
      <w:r w:rsidR="00DB5041" w:rsidRPr="0006324B">
        <w:rPr>
          <w:rFonts w:cstheme="minorHAnsi"/>
          <w:color w:val="323232"/>
          <w:sz w:val="24"/>
          <w:szCs w:val="24"/>
        </w:rPr>
        <w:t>by benefits staff</w:t>
      </w:r>
    </w:p>
    <w:p w:rsidR="0058691D" w:rsidRPr="0006324B" w:rsidRDefault="00DB5041">
      <w:pPr>
        <w:rPr>
          <w:rFonts w:cstheme="minorHAnsi"/>
          <w:color w:val="323232"/>
          <w:sz w:val="24"/>
          <w:szCs w:val="24"/>
        </w:rPr>
      </w:pPr>
      <w:r w:rsidRPr="0006324B">
        <w:rPr>
          <w:rFonts w:cstheme="minorHAnsi"/>
          <w:color w:val="323232"/>
          <w:sz w:val="24"/>
          <w:szCs w:val="24"/>
        </w:rPr>
        <w:t>211</w:t>
      </w:r>
      <w:r w:rsidR="0058691D" w:rsidRPr="0006324B">
        <w:rPr>
          <w:rFonts w:cstheme="minorHAnsi"/>
          <w:color w:val="323232"/>
          <w:sz w:val="24"/>
          <w:szCs w:val="24"/>
        </w:rPr>
        <w:t xml:space="preserve"> hours of overtime logged by HR staff </w:t>
      </w:r>
    </w:p>
    <w:p w:rsidR="0058691D" w:rsidRPr="0006324B" w:rsidRDefault="0058691D">
      <w:pPr>
        <w:rPr>
          <w:rFonts w:cstheme="minorHAnsi"/>
          <w:color w:val="323232"/>
          <w:sz w:val="24"/>
          <w:szCs w:val="24"/>
        </w:rPr>
      </w:pPr>
    </w:p>
    <w:p w:rsidR="0058691D" w:rsidRPr="0006324B" w:rsidRDefault="0058691D">
      <w:pPr>
        <w:rPr>
          <w:rFonts w:cstheme="minorHAnsi"/>
          <w:color w:val="323232"/>
          <w:sz w:val="24"/>
          <w:szCs w:val="24"/>
        </w:rPr>
      </w:pPr>
      <w:r w:rsidRPr="0006324B">
        <w:rPr>
          <w:rFonts w:cstheme="minorHAnsi"/>
          <w:color w:val="323232"/>
          <w:sz w:val="24"/>
          <w:szCs w:val="24"/>
        </w:rPr>
        <w:t xml:space="preserve">Take </w:t>
      </w:r>
      <w:proofErr w:type="spellStart"/>
      <w:r w:rsidRPr="0006324B">
        <w:rPr>
          <w:rFonts w:cstheme="minorHAnsi"/>
          <w:color w:val="323232"/>
          <w:sz w:val="24"/>
          <w:szCs w:val="24"/>
        </w:rPr>
        <w:t>aways</w:t>
      </w:r>
      <w:proofErr w:type="spellEnd"/>
      <w:r w:rsidRPr="0006324B">
        <w:rPr>
          <w:rFonts w:cstheme="minorHAnsi"/>
          <w:color w:val="323232"/>
          <w:sz w:val="24"/>
          <w:szCs w:val="24"/>
        </w:rPr>
        <w:t xml:space="preserve">: </w:t>
      </w:r>
    </w:p>
    <w:p w:rsidR="0058691D" w:rsidRPr="0006324B" w:rsidRDefault="0058691D" w:rsidP="0058691D">
      <w:pPr>
        <w:pStyle w:val="ListParagraph"/>
        <w:numPr>
          <w:ilvl w:val="0"/>
          <w:numId w:val="1"/>
        </w:numPr>
        <w:rPr>
          <w:rFonts w:cstheme="minorHAnsi"/>
          <w:color w:val="323232"/>
          <w:sz w:val="24"/>
          <w:szCs w:val="24"/>
        </w:rPr>
      </w:pPr>
      <w:r w:rsidRPr="0006324B">
        <w:rPr>
          <w:rFonts w:cstheme="minorHAnsi"/>
          <w:color w:val="323232"/>
          <w:sz w:val="24"/>
          <w:szCs w:val="24"/>
        </w:rPr>
        <w:t xml:space="preserve">Employees were helpful to each other through the open enrollment process. We witnessed and heard of many circumstances where colleagues would support each other through the enrollment process. </w:t>
      </w:r>
    </w:p>
    <w:p w:rsidR="0058691D" w:rsidRPr="0006324B" w:rsidRDefault="0058691D" w:rsidP="0058691D">
      <w:pPr>
        <w:pStyle w:val="ListParagraph"/>
        <w:numPr>
          <w:ilvl w:val="0"/>
          <w:numId w:val="1"/>
        </w:numPr>
        <w:rPr>
          <w:rFonts w:cstheme="minorHAnsi"/>
          <w:color w:val="323232"/>
          <w:sz w:val="24"/>
          <w:szCs w:val="24"/>
        </w:rPr>
      </w:pPr>
      <w:r w:rsidRPr="0006324B">
        <w:rPr>
          <w:rFonts w:cstheme="minorHAnsi"/>
          <w:color w:val="323232"/>
          <w:sz w:val="24"/>
          <w:szCs w:val="24"/>
        </w:rPr>
        <w:t xml:space="preserve">Union leaders were helpful in communicating the importance of enrollment to their members. </w:t>
      </w:r>
    </w:p>
    <w:p w:rsidR="0058691D" w:rsidRDefault="0058691D" w:rsidP="0058691D">
      <w:pPr>
        <w:pStyle w:val="ListParagraph"/>
        <w:numPr>
          <w:ilvl w:val="0"/>
          <w:numId w:val="1"/>
        </w:numPr>
        <w:rPr>
          <w:rFonts w:cstheme="minorHAnsi"/>
          <w:color w:val="323232"/>
          <w:sz w:val="24"/>
          <w:szCs w:val="24"/>
        </w:rPr>
      </w:pPr>
      <w:r w:rsidRPr="0006324B">
        <w:rPr>
          <w:rFonts w:cstheme="minorHAnsi"/>
          <w:color w:val="323232"/>
          <w:sz w:val="24"/>
          <w:szCs w:val="24"/>
        </w:rPr>
        <w:t xml:space="preserve">Supervisors in departments and schools sat with their employees to assist with enrollment. </w:t>
      </w:r>
      <w:bookmarkStart w:id="1" w:name="_Hlk25069363"/>
      <w:r w:rsidR="00DB5041" w:rsidRPr="0006324B">
        <w:rPr>
          <w:rFonts w:cstheme="minorHAnsi"/>
          <w:color w:val="323232"/>
          <w:sz w:val="24"/>
          <w:szCs w:val="24"/>
        </w:rPr>
        <w:t xml:space="preserve">Special acknowledgement to Lynn Tipping, Food and Nutrition Administrative Assistant who arranged 1:1 </w:t>
      </w:r>
      <w:proofErr w:type="gramStart"/>
      <w:r w:rsidR="00DB5041" w:rsidRPr="0006324B">
        <w:rPr>
          <w:rFonts w:cstheme="minorHAnsi"/>
          <w:color w:val="323232"/>
          <w:sz w:val="24"/>
          <w:szCs w:val="24"/>
        </w:rPr>
        <w:t>meetings</w:t>
      </w:r>
      <w:proofErr w:type="gramEnd"/>
      <w:r w:rsidR="00DB5041" w:rsidRPr="0006324B">
        <w:rPr>
          <w:rFonts w:cstheme="minorHAnsi"/>
          <w:color w:val="323232"/>
          <w:sz w:val="24"/>
          <w:szCs w:val="24"/>
        </w:rPr>
        <w:t xml:space="preserve"> with each of her F &amp; N employees to ensure their proper enrollment. </w:t>
      </w:r>
    </w:p>
    <w:p w:rsidR="0006324B" w:rsidRDefault="0006324B" w:rsidP="0006324B">
      <w:pPr>
        <w:rPr>
          <w:rFonts w:cstheme="minorHAnsi"/>
          <w:color w:val="323232"/>
          <w:sz w:val="24"/>
          <w:szCs w:val="24"/>
        </w:rPr>
      </w:pPr>
      <w:r>
        <w:rPr>
          <w:rFonts w:cstheme="minorHAnsi"/>
          <w:color w:val="323232"/>
          <w:sz w:val="24"/>
          <w:szCs w:val="24"/>
        </w:rPr>
        <w:t xml:space="preserve">Next steps: </w:t>
      </w:r>
    </w:p>
    <w:p w:rsidR="0006324B" w:rsidRDefault="0006324B" w:rsidP="0006324B">
      <w:pPr>
        <w:pStyle w:val="ListParagraph"/>
        <w:numPr>
          <w:ilvl w:val="0"/>
          <w:numId w:val="2"/>
        </w:numPr>
        <w:rPr>
          <w:rFonts w:cstheme="minorHAnsi"/>
          <w:color w:val="323232"/>
          <w:sz w:val="24"/>
          <w:szCs w:val="24"/>
        </w:rPr>
      </w:pPr>
      <w:r>
        <w:rPr>
          <w:rFonts w:cstheme="minorHAnsi"/>
          <w:color w:val="323232"/>
          <w:sz w:val="24"/>
          <w:szCs w:val="24"/>
        </w:rPr>
        <w:t xml:space="preserve">Dependents are still being verified by SEBB. SEBB has communicated December 5 as the date they are hoping to have all dependents verified. </w:t>
      </w:r>
    </w:p>
    <w:p w:rsidR="0006324B" w:rsidRDefault="0006324B" w:rsidP="0006324B">
      <w:pPr>
        <w:pStyle w:val="ListParagraph"/>
        <w:numPr>
          <w:ilvl w:val="0"/>
          <w:numId w:val="2"/>
        </w:numPr>
        <w:rPr>
          <w:rFonts w:cstheme="minorHAnsi"/>
          <w:color w:val="323232"/>
          <w:sz w:val="24"/>
          <w:szCs w:val="24"/>
        </w:rPr>
      </w:pPr>
      <w:r>
        <w:rPr>
          <w:rFonts w:cstheme="minorHAnsi"/>
          <w:color w:val="323232"/>
          <w:sz w:val="24"/>
          <w:szCs w:val="24"/>
        </w:rPr>
        <w:t xml:space="preserve">Employees are beginning to receive information at their home addresses related to their benefit elections. Flexible Spending Account cards have been mailed. MetLife life insurance information is being mailed to employee homes. </w:t>
      </w:r>
    </w:p>
    <w:p w:rsidR="0006324B" w:rsidRDefault="0006324B" w:rsidP="0006324B">
      <w:pPr>
        <w:pStyle w:val="ListParagraph"/>
        <w:numPr>
          <w:ilvl w:val="0"/>
          <w:numId w:val="2"/>
        </w:numPr>
        <w:rPr>
          <w:rFonts w:cstheme="minorHAnsi"/>
          <w:color w:val="323232"/>
          <w:sz w:val="24"/>
          <w:szCs w:val="24"/>
        </w:rPr>
      </w:pPr>
      <w:r>
        <w:rPr>
          <w:rFonts w:cstheme="minorHAnsi"/>
          <w:color w:val="323232"/>
          <w:sz w:val="24"/>
          <w:szCs w:val="24"/>
        </w:rPr>
        <w:t xml:space="preserve">School districts are awaiting word from the HCA about billing and payment procedures. </w:t>
      </w:r>
    </w:p>
    <w:p w:rsidR="0006324B" w:rsidRPr="0006324B" w:rsidRDefault="0006324B" w:rsidP="0006324B">
      <w:pPr>
        <w:ind w:left="360"/>
        <w:rPr>
          <w:rFonts w:cstheme="minorHAnsi"/>
          <w:color w:val="323232"/>
          <w:sz w:val="24"/>
          <w:szCs w:val="24"/>
        </w:rPr>
      </w:pPr>
    </w:p>
    <w:bookmarkEnd w:id="1"/>
    <w:p w:rsidR="0058691D" w:rsidRDefault="0058691D"/>
    <w:sectPr w:rsidR="00586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81117"/>
    <w:multiLevelType w:val="hybridMultilevel"/>
    <w:tmpl w:val="A944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06F9B"/>
    <w:multiLevelType w:val="hybridMultilevel"/>
    <w:tmpl w:val="C2C8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B6"/>
    <w:rsid w:val="0006324B"/>
    <w:rsid w:val="002205B6"/>
    <w:rsid w:val="0058691D"/>
    <w:rsid w:val="00C8690E"/>
    <w:rsid w:val="00DB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C0D8"/>
  <w15:chartTrackingRefBased/>
  <w15:docId w15:val="{4AB93BB1-C2AF-4F81-8BAC-660EB0A2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91D"/>
    <w:pPr>
      <w:ind w:left="720"/>
      <w:contextualSpacing/>
    </w:pPr>
  </w:style>
  <w:style w:type="paragraph" w:styleId="BalloonText">
    <w:name w:val="Balloon Text"/>
    <w:basedOn w:val="Normal"/>
    <w:link w:val="BalloonTextChar"/>
    <w:uiPriority w:val="99"/>
    <w:semiHidden/>
    <w:unhideWhenUsed/>
    <w:rsid w:val="00586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Seaberg, Randi K</dc:creator>
  <cp:keywords/>
  <dc:description/>
  <cp:lastModifiedBy>Seaberg, Randi K</cp:lastModifiedBy>
  <cp:revision>2</cp:revision>
  <cp:lastPrinted>2019-11-19T00:52:00Z</cp:lastPrinted>
  <dcterms:created xsi:type="dcterms:W3CDTF">2019-11-19T00:26:00Z</dcterms:created>
  <dcterms:modified xsi:type="dcterms:W3CDTF">2019-11-20T00:38:00Z</dcterms:modified>
</cp:coreProperties>
</file>