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B7" w:rsidRDefault="009635B7" w:rsidP="009635B7">
      <w:pPr>
        <w:jc w:val="right"/>
        <w:rPr>
          <w:b/>
          <w:bCs/>
        </w:rPr>
      </w:pPr>
      <w:r>
        <w:rPr>
          <w:b/>
          <w:bCs/>
        </w:rPr>
        <w:t>250P</w:t>
      </w:r>
    </w:p>
    <w:p w:rsidR="009635B7" w:rsidRDefault="009635B7" w:rsidP="009635B7">
      <w:pPr>
        <w:jc w:val="right"/>
        <w:rPr>
          <w:bCs/>
        </w:rPr>
      </w:pPr>
      <w:r w:rsidRPr="005C7C8E">
        <w:rPr>
          <w:bCs/>
        </w:rPr>
        <w:t>Page 1 of 1</w:t>
      </w:r>
    </w:p>
    <w:p w:rsidR="005C7C8E" w:rsidRDefault="005C7C8E" w:rsidP="005C7C8E">
      <w:pPr>
        <w:rPr>
          <w:bCs/>
        </w:rPr>
      </w:pPr>
    </w:p>
    <w:p w:rsidR="005C7C8E" w:rsidRPr="005C7C8E" w:rsidRDefault="005C7C8E" w:rsidP="005C7C8E">
      <w:pPr>
        <w:rPr>
          <w:bCs/>
        </w:rPr>
      </w:pPr>
    </w:p>
    <w:p w:rsidR="009635B7" w:rsidRDefault="009635B7" w:rsidP="009635B7">
      <w:pPr>
        <w:rPr>
          <w:b/>
          <w:bCs/>
          <w:u w:val="single"/>
        </w:rPr>
      </w:pPr>
      <w:r>
        <w:rPr>
          <w:b/>
          <w:bCs/>
          <w:u w:val="single"/>
        </w:rPr>
        <w:t>FINANCE</w:t>
      </w:r>
    </w:p>
    <w:p w:rsidR="009635B7" w:rsidRDefault="009635B7" w:rsidP="009635B7">
      <w:pPr>
        <w:rPr>
          <w:bCs/>
        </w:rPr>
      </w:pPr>
    </w:p>
    <w:p w:rsidR="005C7C8E" w:rsidRPr="005C7C8E" w:rsidRDefault="005C7C8E" w:rsidP="009635B7">
      <w:pPr>
        <w:rPr>
          <w:bCs/>
        </w:rPr>
      </w:pPr>
    </w:p>
    <w:p w:rsidR="009635B7" w:rsidRDefault="009635B7" w:rsidP="009635B7">
      <w:pPr>
        <w:rPr>
          <w:b/>
          <w:bCs/>
        </w:rPr>
      </w:pPr>
      <w:r>
        <w:rPr>
          <w:b/>
          <w:bCs/>
          <w:u w:val="single"/>
        </w:rPr>
        <w:t>Fund Balance and Solvency</w:t>
      </w:r>
    </w:p>
    <w:p w:rsidR="009635B7" w:rsidRDefault="009635B7" w:rsidP="009635B7">
      <w:pPr>
        <w:rPr>
          <w:b/>
          <w:bCs/>
        </w:rPr>
      </w:pPr>
    </w:p>
    <w:p w:rsidR="009635B7" w:rsidRPr="005A4A0C" w:rsidRDefault="009635B7" w:rsidP="009635B7">
      <w:pPr>
        <w:rPr>
          <w:bCs/>
        </w:rPr>
      </w:pPr>
      <w:r w:rsidRPr="005A4A0C">
        <w:rPr>
          <w:bCs/>
        </w:rPr>
        <w:t xml:space="preserve">In order to retain a stable financial base and comply with </w:t>
      </w:r>
      <w:r w:rsidR="001E1E3A">
        <w:rPr>
          <w:bCs/>
        </w:rPr>
        <w:t xml:space="preserve">applicable </w:t>
      </w:r>
      <w:r w:rsidRPr="005A4A0C">
        <w:rPr>
          <w:bCs/>
        </w:rPr>
        <w:t>regulatory solvency requirements, the Trustees shall:</w:t>
      </w:r>
    </w:p>
    <w:p w:rsidR="009635B7" w:rsidRPr="005A4A0C" w:rsidRDefault="009635B7" w:rsidP="001E1E3A">
      <w:pPr>
        <w:tabs>
          <w:tab w:val="left" w:pos="360"/>
        </w:tabs>
        <w:spacing w:before="120"/>
        <w:ind w:left="360" w:hanging="360"/>
        <w:rPr>
          <w:bCs/>
        </w:rPr>
      </w:pPr>
      <w:r w:rsidRPr="005A4A0C">
        <w:rPr>
          <w:bCs/>
        </w:rPr>
        <w:t>1.</w:t>
      </w:r>
      <w:r w:rsidRPr="005A4A0C">
        <w:rPr>
          <w:bCs/>
        </w:rPr>
        <w:tab/>
        <w:t>Maintain sufficient funds to meet the Trust’s liquidity needs</w:t>
      </w:r>
      <w:r w:rsidR="00922CC4">
        <w:rPr>
          <w:bCs/>
        </w:rPr>
        <w:t xml:space="preserve"> </w:t>
      </w:r>
      <w:r w:rsidR="00922CC4" w:rsidRPr="00EF36AA">
        <w:rPr>
          <w:bCs/>
        </w:rPr>
        <w:t>which includes maintaining reserves in an amount determined by the Trustees to be necessary to fund insurance premium costs for the fully insured Trust benefits</w:t>
      </w:r>
      <w:r w:rsidRPr="005A4A0C">
        <w:rPr>
          <w:bCs/>
        </w:rPr>
        <w:t>;</w:t>
      </w:r>
    </w:p>
    <w:p w:rsidR="009635B7" w:rsidRPr="005A4A0C" w:rsidRDefault="00922CC4" w:rsidP="001E1E3A">
      <w:pPr>
        <w:tabs>
          <w:tab w:val="left" w:pos="360"/>
        </w:tabs>
        <w:spacing w:before="120"/>
        <w:ind w:left="360" w:hanging="360"/>
        <w:rPr>
          <w:bCs/>
        </w:rPr>
      </w:pPr>
      <w:r w:rsidRPr="00EF36AA">
        <w:rPr>
          <w:bCs/>
        </w:rPr>
        <w:t>2</w:t>
      </w:r>
      <w:r w:rsidR="000617C7">
        <w:rPr>
          <w:bCs/>
        </w:rPr>
        <w:t>.</w:t>
      </w:r>
      <w:r w:rsidR="000617C7">
        <w:rPr>
          <w:bCs/>
        </w:rPr>
        <w:tab/>
        <w:t xml:space="preserve">If the Trust self-insures any Trust benefits, establish reserves in an amount equal to the sum of </w:t>
      </w:r>
      <w:r w:rsidR="009635B7" w:rsidRPr="005A4A0C">
        <w:rPr>
          <w:bCs/>
        </w:rPr>
        <w:t>eight weeks of (i) claim costs for all benefits funded directly by the Trust, (ii) costs, and (iii) expenses;</w:t>
      </w:r>
    </w:p>
    <w:p w:rsidR="009635B7" w:rsidRPr="005A4A0C" w:rsidRDefault="00922CC4" w:rsidP="001E1E3A">
      <w:pPr>
        <w:tabs>
          <w:tab w:val="left" w:pos="360"/>
        </w:tabs>
        <w:spacing w:before="120"/>
        <w:ind w:left="360" w:hanging="360"/>
        <w:rPr>
          <w:bCs/>
        </w:rPr>
      </w:pPr>
      <w:r w:rsidRPr="00EF36AA">
        <w:rPr>
          <w:bCs/>
        </w:rPr>
        <w:t>3</w:t>
      </w:r>
      <w:r w:rsidR="009635B7" w:rsidRPr="00EF36AA">
        <w:rPr>
          <w:bCs/>
        </w:rPr>
        <w:t>.</w:t>
      </w:r>
      <w:r w:rsidR="009635B7" w:rsidRPr="005A4A0C">
        <w:rPr>
          <w:bCs/>
        </w:rPr>
        <w:tab/>
      </w:r>
      <w:r w:rsidR="000617C7">
        <w:rPr>
          <w:bCs/>
        </w:rPr>
        <w:t xml:space="preserve">If the Trust self-insures any Trust benefits, maintain an </w:t>
      </w:r>
      <w:r w:rsidR="009635B7" w:rsidRPr="005A4A0C">
        <w:rPr>
          <w:bCs/>
        </w:rPr>
        <w:t>aggregate stop-loss insurance policy with an attachment point set at or below one hundred twenty-five percent of annual expected claim costs for  all benefits funded directly by the Trust; and</w:t>
      </w:r>
    </w:p>
    <w:p w:rsidR="009635B7" w:rsidRPr="005A4A0C" w:rsidRDefault="00922CC4" w:rsidP="001E1E3A">
      <w:pPr>
        <w:tabs>
          <w:tab w:val="left" w:pos="360"/>
        </w:tabs>
        <w:spacing w:before="120"/>
        <w:ind w:left="360" w:hanging="360"/>
        <w:rPr>
          <w:bCs/>
        </w:rPr>
      </w:pPr>
      <w:r w:rsidRPr="00EF36AA">
        <w:rPr>
          <w:bCs/>
        </w:rPr>
        <w:t>4</w:t>
      </w:r>
      <w:r w:rsidR="009635B7" w:rsidRPr="005A4A0C">
        <w:rPr>
          <w:bCs/>
        </w:rPr>
        <w:t>.</w:t>
      </w:r>
      <w:r w:rsidR="009635B7" w:rsidRPr="005A4A0C">
        <w:rPr>
          <w:bCs/>
        </w:rPr>
        <w:tab/>
      </w:r>
      <w:r w:rsidR="000617C7">
        <w:rPr>
          <w:bCs/>
        </w:rPr>
        <w:t>If the Trust self-insures any Trust benefits, i</w:t>
      </w:r>
      <w:r w:rsidR="009635B7" w:rsidRPr="005A4A0C">
        <w:rPr>
          <w:bCs/>
        </w:rPr>
        <w:t>n addition to est</w:t>
      </w:r>
      <w:r w:rsidR="000617C7">
        <w:rPr>
          <w:bCs/>
        </w:rPr>
        <w:t>ablishing the reserves in item 3</w:t>
      </w:r>
      <w:r w:rsidR="009635B7" w:rsidRPr="005A4A0C">
        <w:rPr>
          <w:bCs/>
        </w:rPr>
        <w:t xml:space="preserve"> above, establish by resolution an additional contingency reserve in an amount equal to the sum of (i) eight weeks of claims costs for all benefits funded directly by the Trust, (ii) costs, and (iii) expenses.</w:t>
      </w:r>
    </w:p>
    <w:p w:rsidR="009635B7" w:rsidRPr="005A4A0C" w:rsidRDefault="009635B7" w:rsidP="009635B7">
      <w:pPr>
        <w:rPr>
          <w:bCs/>
        </w:rPr>
      </w:pPr>
    </w:p>
    <w:p w:rsidR="009635B7" w:rsidRPr="005A4A0C" w:rsidRDefault="009635B7" w:rsidP="009635B7">
      <w:pPr>
        <w:rPr>
          <w:bCs/>
        </w:rPr>
      </w:pPr>
      <w:r w:rsidRPr="005A4A0C">
        <w:rPr>
          <w:bCs/>
        </w:rPr>
        <w:t>I</w:t>
      </w:r>
      <w:r w:rsidR="000617C7">
        <w:rPr>
          <w:bCs/>
        </w:rPr>
        <w:t>f the Trust self-insures any Trust benefits, i</w:t>
      </w:r>
      <w:r w:rsidRPr="005A4A0C">
        <w:rPr>
          <w:bCs/>
        </w:rPr>
        <w:t xml:space="preserve">n lieu of the requirements in </w:t>
      </w:r>
      <w:r w:rsidR="005C7C8E" w:rsidRPr="005A4A0C">
        <w:rPr>
          <w:bCs/>
        </w:rPr>
        <w:t>1,</w:t>
      </w:r>
      <w:r w:rsidRPr="005A4A0C">
        <w:rPr>
          <w:bCs/>
        </w:rPr>
        <w:t xml:space="preserve"> </w:t>
      </w:r>
      <w:r w:rsidR="00922CC4" w:rsidRPr="00EF36AA">
        <w:rPr>
          <w:bCs/>
        </w:rPr>
        <w:t xml:space="preserve">2, 3 </w:t>
      </w:r>
      <w:r w:rsidR="000617C7">
        <w:rPr>
          <w:bCs/>
        </w:rPr>
        <w:t xml:space="preserve">and </w:t>
      </w:r>
      <w:r w:rsidR="00922CC4" w:rsidRPr="00EF36AA">
        <w:rPr>
          <w:bCs/>
        </w:rPr>
        <w:t>4</w:t>
      </w:r>
      <w:r w:rsidRPr="005A4A0C">
        <w:rPr>
          <w:bCs/>
        </w:rPr>
        <w:t xml:space="preserve"> above, the Trustees may obtain an independent actuarial study and fund the Trust to the actuarially determined liability. </w:t>
      </w:r>
    </w:p>
    <w:p w:rsidR="009635B7" w:rsidRPr="005A4A0C" w:rsidRDefault="009635B7" w:rsidP="009635B7">
      <w:pPr>
        <w:rPr>
          <w:bCs/>
        </w:rPr>
      </w:pPr>
    </w:p>
    <w:p w:rsidR="009635B7" w:rsidRPr="005A4A0C" w:rsidRDefault="009635B7" w:rsidP="009635B7">
      <w:pPr>
        <w:rPr>
          <w:bCs/>
        </w:rPr>
      </w:pPr>
      <w:r w:rsidRPr="005A4A0C">
        <w:rPr>
          <w:bCs/>
        </w:rPr>
        <w:t>I</w:t>
      </w:r>
      <w:r w:rsidR="000617C7">
        <w:rPr>
          <w:bCs/>
        </w:rPr>
        <w:t>f the Trust self-insures any Trust benefits, i</w:t>
      </w:r>
      <w:r w:rsidRPr="005A4A0C">
        <w:rPr>
          <w:bCs/>
        </w:rPr>
        <w:t xml:space="preserve">f at </w:t>
      </w:r>
      <w:r w:rsidR="00776536" w:rsidRPr="005A4A0C">
        <w:rPr>
          <w:bCs/>
        </w:rPr>
        <w:t>the end of</w:t>
      </w:r>
      <w:r w:rsidRPr="005A4A0C">
        <w:rPr>
          <w:bCs/>
        </w:rPr>
        <w:t xml:space="preserve"> a pro</w:t>
      </w:r>
      <w:r w:rsidR="005C7C8E" w:rsidRPr="005A4A0C">
        <w:rPr>
          <w:bCs/>
        </w:rPr>
        <w:t xml:space="preserve">gram </w:t>
      </w:r>
      <w:r w:rsidR="000617C7">
        <w:rPr>
          <w:bCs/>
        </w:rPr>
        <w:t xml:space="preserve">year the requirements in 1 and </w:t>
      </w:r>
      <w:r w:rsidR="00922CC4" w:rsidRPr="00EF36AA">
        <w:rPr>
          <w:bCs/>
        </w:rPr>
        <w:t>3</w:t>
      </w:r>
      <w:r w:rsidR="000617C7">
        <w:rPr>
          <w:bCs/>
        </w:rPr>
        <w:t xml:space="preserve">, or </w:t>
      </w:r>
      <w:r w:rsidR="00922CC4" w:rsidRPr="00EF36AA">
        <w:rPr>
          <w:bCs/>
        </w:rPr>
        <w:t>4</w:t>
      </w:r>
      <w:r w:rsidRPr="00EF36AA">
        <w:rPr>
          <w:bCs/>
        </w:rPr>
        <w:t xml:space="preserve"> </w:t>
      </w:r>
      <w:r w:rsidRPr="005A4A0C">
        <w:rPr>
          <w:bCs/>
        </w:rPr>
        <w:t>are not met, the Trustees shall notify the Washington State risk manager of the condition, and comply with the risk manager’s corrective action plan.</w:t>
      </w:r>
    </w:p>
    <w:p w:rsidR="009635B7" w:rsidRDefault="009635B7" w:rsidP="009635B7">
      <w:pPr>
        <w:rPr>
          <w:bCs/>
        </w:rPr>
      </w:pPr>
    </w:p>
    <w:p w:rsidR="00EF36AA" w:rsidRPr="005A4A0C" w:rsidRDefault="00EF36AA" w:rsidP="009635B7">
      <w:pPr>
        <w:rPr>
          <w:bCs/>
        </w:rPr>
      </w:pPr>
    </w:p>
    <w:p w:rsidR="005C7C8E" w:rsidRPr="005A4A0C" w:rsidRDefault="005C7C8E" w:rsidP="005C7C8E">
      <w:pPr>
        <w:tabs>
          <w:tab w:val="left" w:pos="2160"/>
          <w:tab w:val="left" w:pos="5040"/>
        </w:tabs>
        <w:ind w:left="5040" w:hanging="5040"/>
        <w:rPr>
          <w:bCs/>
        </w:rPr>
      </w:pPr>
      <w:r w:rsidRPr="005A4A0C">
        <w:rPr>
          <w:bCs/>
        </w:rPr>
        <w:t xml:space="preserve">Cross </w:t>
      </w:r>
      <w:r w:rsidR="009635B7" w:rsidRPr="005A4A0C">
        <w:rPr>
          <w:bCs/>
        </w:rPr>
        <w:t>Reference</w:t>
      </w:r>
      <w:r w:rsidR="001E1E3A">
        <w:rPr>
          <w:bCs/>
        </w:rPr>
        <w:t>s</w:t>
      </w:r>
      <w:r w:rsidR="009635B7" w:rsidRPr="005A4A0C">
        <w:rPr>
          <w:bCs/>
        </w:rPr>
        <w:t>:</w:t>
      </w:r>
      <w:r w:rsidR="009635B7" w:rsidRPr="005A4A0C">
        <w:rPr>
          <w:bCs/>
        </w:rPr>
        <w:tab/>
      </w:r>
      <w:hyperlink r:id="rId6" w:history="1">
        <w:r w:rsidRPr="001E1E3A">
          <w:rPr>
            <w:rStyle w:val="Hyperlink"/>
            <w:bCs/>
          </w:rPr>
          <w:t xml:space="preserve">Trust Procedure </w:t>
        </w:r>
        <w:r w:rsidR="009635B7" w:rsidRPr="001E1E3A">
          <w:rPr>
            <w:rStyle w:val="Hyperlink"/>
            <w:bCs/>
          </w:rPr>
          <w:t>100.3P</w:t>
        </w:r>
      </w:hyperlink>
      <w:r w:rsidR="009635B7" w:rsidRPr="005A4A0C">
        <w:rPr>
          <w:bCs/>
        </w:rPr>
        <w:tab/>
        <w:t>Third Party Administrators, Consultants and Advisors</w:t>
      </w:r>
    </w:p>
    <w:p w:rsidR="005C7C8E" w:rsidRPr="005A4A0C" w:rsidRDefault="005C7C8E" w:rsidP="005C7C8E">
      <w:pPr>
        <w:tabs>
          <w:tab w:val="left" w:pos="2160"/>
          <w:tab w:val="left" w:pos="5040"/>
        </w:tabs>
        <w:ind w:left="5040" w:hanging="5040"/>
        <w:rPr>
          <w:bCs/>
        </w:rPr>
      </w:pPr>
      <w:r w:rsidRPr="005A4A0C">
        <w:rPr>
          <w:bCs/>
        </w:rPr>
        <w:tab/>
      </w:r>
      <w:hyperlink r:id="rId7" w:history="1">
        <w:r w:rsidRPr="001E1E3A">
          <w:rPr>
            <w:rStyle w:val="Hyperlink"/>
            <w:bCs/>
          </w:rPr>
          <w:t xml:space="preserve">Trust Policy </w:t>
        </w:r>
        <w:r w:rsidR="009635B7" w:rsidRPr="001E1E3A">
          <w:rPr>
            <w:rStyle w:val="Hyperlink"/>
            <w:bCs/>
          </w:rPr>
          <w:t>200</w:t>
        </w:r>
      </w:hyperlink>
      <w:r w:rsidR="009635B7" w:rsidRPr="005A4A0C">
        <w:rPr>
          <w:bCs/>
        </w:rPr>
        <w:tab/>
        <w:t>Financial Policy</w:t>
      </w:r>
    </w:p>
    <w:p w:rsidR="005C7C8E" w:rsidRPr="005A4A0C" w:rsidRDefault="005C7C8E" w:rsidP="005C7C8E">
      <w:pPr>
        <w:tabs>
          <w:tab w:val="left" w:pos="2160"/>
          <w:tab w:val="left" w:pos="5040"/>
        </w:tabs>
        <w:ind w:left="5040" w:hanging="5040"/>
        <w:rPr>
          <w:bCs/>
        </w:rPr>
      </w:pPr>
      <w:r w:rsidRPr="005A4A0C">
        <w:rPr>
          <w:bCs/>
        </w:rPr>
        <w:tab/>
      </w:r>
      <w:hyperlink r:id="rId8" w:history="1">
        <w:r w:rsidRPr="001E1E3A">
          <w:rPr>
            <w:rStyle w:val="Hyperlink"/>
            <w:bCs/>
          </w:rPr>
          <w:t xml:space="preserve">Trust Policy </w:t>
        </w:r>
        <w:r w:rsidR="009635B7" w:rsidRPr="001E1E3A">
          <w:rPr>
            <w:rStyle w:val="Hyperlink"/>
            <w:bCs/>
          </w:rPr>
          <w:t>220</w:t>
        </w:r>
      </w:hyperlink>
      <w:r w:rsidR="009635B7" w:rsidRPr="005A4A0C">
        <w:rPr>
          <w:bCs/>
        </w:rPr>
        <w:tab/>
        <w:t>Investment Guidelines and Rules</w:t>
      </w:r>
    </w:p>
    <w:p w:rsidR="005C7C8E" w:rsidRPr="005A4A0C" w:rsidRDefault="005C7C8E" w:rsidP="005C7C8E">
      <w:pPr>
        <w:tabs>
          <w:tab w:val="left" w:pos="2160"/>
          <w:tab w:val="left" w:pos="5040"/>
        </w:tabs>
        <w:ind w:left="5040" w:hanging="5040"/>
        <w:rPr>
          <w:bCs/>
        </w:rPr>
      </w:pPr>
      <w:r w:rsidRPr="005A4A0C">
        <w:rPr>
          <w:bCs/>
        </w:rPr>
        <w:tab/>
      </w:r>
      <w:hyperlink r:id="rId9" w:history="1">
        <w:r w:rsidRPr="001E1E3A">
          <w:rPr>
            <w:rStyle w:val="Hyperlink"/>
            <w:bCs/>
          </w:rPr>
          <w:t xml:space="preserve">Trust Policy </w:t>
        </w:r>
        <w:r w:rsidR="001E1E3A" w:rsidRPr="001E1E3A">
          <w:rPr>
            <w:rStyle w:val="Hyperlink"/>
            <w:bCs/>
          </w:rPr>
          <w:t>250</w:t>
        </w:r>
      </w:hyperlink>
      <w:r w:rsidR="009635B7" w:rsidRPr="005A4A0C">
        <w:rPr>
          <w:bCs/>
        </w:rPr>
        <w:tab/>
        <w:t>Fund Balance and Solvency</w:t>
      </w:r>
    </w:p>
    <w:p w:rsidR="009635B7" w:rsidRPr="005A4A0C" w:rsidRDefault="005C7C8E" w:rsidP="00922CC4">
      <w:pPr>
        <w:tabs>
          <w:tab w:val="left" w:pos="2160"/>
          <w:tab w:val="left" w:pos="5040"/>
        </w:tabs>
        <w:ind w:left="5040" w:hanging="5040"/>
        <w:rPr>
          <w:bCs/>
        </w:rPr>
      </w:pPr>
      <w:r w:rsidRPr="005A4A0C">
        <w:rPr>
          <w:bCs/>
        </w:rPr>
        <w:tab/>
      </w:r>
      <w:hyperlink r:id="rId10" w:history="1">
        <w:r w:rsidRPr="001E1E3A">
          <w:rPr>
            <w:rStyle w:val="Hyperlink"/>
            <w:bCs/>
          </w:rPr>
          <w:t xml:space="preserve">Trust Policy </w:t>
        </w:r>
        <w:r w:rsidR="009635B7" w:rsidRPr="001E1E3A">
          <w:rPr>
            <w:rStyle w:val="Hyperlink"/>
            <w:bCs/>
          </w:rPr>
          <w:t>440</w:t>
        </w:r>
      </w:hyperlink>
      <w:r w:rsidR="009635B7" w:rsidRPr="005A4A0C">
        <w:rPr>
          <w:bCs/>
        </w:rPr>
        <w:tab/>
        <w:t>Reports</w:t>
      </w:r>
    </w:p>
    <w:p w:rsidR="005C7C8E" w:rsidRDefault="005C7C8E" w:rsidP="009635B7">
      <w:pPr>
        <w:rPr>
          <w:bCs/>
        </w:rPr>
      </w:pPr>
    </w:p>
    <w:p w:rsidR="00EF36AA" w:rsidRPr="005A4A0C" w:rsidRDefault="00EF36AA" w:rsidP="009635B7">
      <w:pPr>
        <w:rPr>
          <w:bCs/>
        </w:rPr>
      </w:pPr>
    </w:p>
    <w:p w:rsidR="009635B7" w:rsidRPr="005A4A0C" w:rsidRDefault="000617C7" w:rsidP="00712F7D">
      <w:pPr>
        <w:tabs>
          <w:tab w:val="left" w:pos="2160"/>
          <w:tab w:val="left" w:pos="5040"/>
        </w:tabs>
        <w:ind w:left="5040" w:hanging="5040"/>
        <w:rPr>
          <w:bCs/>
        </w:rPr>
      </w:pPr>
      <w:r>
        <w:rPr>
          <w:bCs/>
        </w:rPr>
        <w:t>Legal Reference:</w:t>
      </w:r>
      <w:r>
        <w:rPr>
          <w:bCs/>
        </w:rPr>
        <w:tab/>
      </w:r>
      <w:hyperlink r:id="rId11" w:history="1">
        <w:r w:rsidRPr="001E1E3A">
          <w:rPr>
            <w:rStyle w:val="Hyperlink"/>
            <w:bCs/>
          </w:rPr>
          <w:t xml:space="preserve">WAC </w:t>
        </w:r>
        <w:r w:rsidR="009635B7" w:rsidRPr="001E1E3A">
          <w:rPr>
            <w:rStyle w:val="Hyperlink"/>
            <w:bCs/>
          </w:rPr>
          <w:t>2</w:t>
        </w:r>
        <w:r w:rsidRPr="001E1E3A">
          <w:rPr>
            <w:rStyle w:val="Hyperlink"/>
            <w:bCs/>
          </w:rPr>
          <w:t>00-110</w:t>
        </w:r>
        <w:r w:rsidR="009635B7" w:rsidRPr="001E1E3A">
          <w:rPr>
            <w:rStyle w:val="Hyperlink"/>
            <w:bCs/>
          </w:rPr>
          <w:t>-040</w:t>
        </w:r>
      </w:hyperlink>
      <w:r w:rsidR="00712F7D" w:rsidRPr="005A4A0C">
        <w:rPr>
          <w:bCs/>
        </w:rPr>
        <w:tab/>
      </w:r>
      <w:r w:rsidR="00712F7D" w:rsidRPr="005A4A0C">
        <w:t>Standards for solvency—Program funding requirements</w:t>
      </w:r>
    </w:p>
    <w:p w:rsidR="009635B7" w:rsidRDefault="009635B7" w:rsidP="009635B7">
      <w:pPr>
        <w:rPr>
          <w:bCs/>
        </w:rPr>
      </w:pPr>
    </w:p>
    <w:p w:rsidR="00EF36AA" w:rsidRDefault="00EF36AA" w:rsidP="009635B7">
      <w:pPr>
        <w:rPr>
          <w:bCs/>
        </w:rPr>
      </w:pPr>
    </w:p>
    <w:p w:rsidR="00EF36AA" w:rsidRPr="005A4A0C" w:rsidRDefault="00EF36AA" w:rsidP="009635B7">
      <w:pPr>
        <w:rPr>
          <w:bCs/>
        </w:rPr>
      </w:pPr>
    </w:p>
    <w:p w:rsidR="005D5A23" w:rsidRDefault="005A4A0C" w:rsidP="00EF36AA">
      <w:pPr>
        <w:tabs>
          <w:tab w:val="left" w:pos="1080"/>
          <w:tab w:val="left" w:pos="3330"/>
        </w:tabs>
        <w:rPr>
          <w:bCs/>
          <w:u w:val="single"/>
        </w:rPr>
      </w:pPr>
      <w:r>
        <w:rPr>
          <w:bCs/>
        </w:rPr>
        <w:t>Adopted</w:t>
      </w:r>
      <w:r w:rsidR="009635B7" w:rsidRPr="005A4A0C">
        <w:rPr>
          <w:bCs/>
        </w:rPr>
        <w:t>:</w:t>
      </w:r>
      <w:r w:rsidR="009635B7" w:rsidRPr="005A4A0C">
        <w:rPr>
          <w:bCs/>
        </w:rPr>
        <w:tab/>
      </w:r>
      <w:r w:rsidRPr="005A4A0C">
        <w:rPr>
          <w:bCs/>
          <w:u w:val="single"/>
        </w:rPr>
        <w:t>January 24, 2011</w:t>
      </w:r>
      <w:r w:rsidR="009635B7" w:rsidRPr="005A4A0C">
        <w:rPr>
          <w:bCs/>
          <w:u w:val="single"/>
        </w:rPr>
        <w:tab/>
      </w:r>
    </w:p>
    <w:p w:rsidR="000617C7" w:rsidRDefault="000617C7" w:rsidP="00EF36AA">
      <w:pPr>
        <w:tabs>
          <w:tab w:val="left" w:pos="1080"/>
          <w:tab w:val="left" w:pos="3330"/>
        </w:tabs>
        <w:rPr>
          <w:bCs/>
          <w:u w:val="single"/>
        </w:rPr>
      </w:pPr>
      <w:r>
        <w:rPr>
          <w:bCs/>
        </w:rPr>
        <w:t>Revised:</w:t>
      </w:r>
      <w:r>
        <w:rPr>
          <w:bCs/>
        </w:rPr>
        <w:tab/>
      </w:r>
      <w:r w:rsidRPr="000617C7">
        <w:rPr>
          <w:bCs/>
          <w:u w:val="single"/>
        </w:rPr>
        <w:t>October 16, 2013</w:t>
      </w:r>
      <w:r w:rsidRPr="000617C7">
        <w:rPr>
          <w:bCs/>
          <w:u w:val="single"/>
        </w:rPr>
        <w:tab/>
      </w:r>
    </w:p>
    <w:p w:rsidR="00EF36AA" w:rsidRPr="00EF36AA" w:rsidRDefault="00EF36AA" w:rsidP="00EF36AA">
      <w:pPr>
        <w:tabs>
          <w:tab w:val="left" w:pos="1080"/>
          <w:tab w:val="left" w:pos="3330"/>
        </w:tabs>
        <w:rPr>
          <w:bCs/>
        </w:rPr>
      </w:pPr>
      <w:r>
        <w:rPr>
          <w:bCs/>
        </w:rPr>
        <w:t>Revised:</w:t>
      </w:r>
      <w:r>
        <w:rPr>
          <w:bCs/>
        </w:rPr>
        <w:tab/>
      </w:r>
      <w:r w:rsidRPr="00EF36AA">
        <w:rPr>
          <w:bCs/>
          <w:u w:val="single"/>
        </w:rPr>
        <w:t>December 13, 2017</w:t>
      </w:r>
      <w:r>
        <w:rPr>
          <w:bCs/>
          <w:u w:val="single"/>
        </w:rPr>
        <w:tab/>
      </w:r>
      <w:bookmarkStart w:id="0" w:name="_GoBack"/>
      <w:bookmarkEnd w:id="0"/>
    </w:p>
    <w:sectPr w:rsidR="00EF36AA" w:rsidRPr="00EF36AA" w:rsidSect="005C7C8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BE6" w:rsidRDefault="00106BE6">
      <w:r>
        <w:separator/>
      </w:r>
    </w:p>
  </w:endnote>
  <w:endnote w:type="continuationSeparator" w:id="0">
    <w:p w:rsidR="00106BE6" w:rsidRDefault="0010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BE6" w:rsidRDefault="00106BE6">
      <w:r>
        <w:separator/>
      </w:r>
    </w:p>
  </w:footnote>
  <w:footnote w:type="continuationSeparator" w:id="0">
    <w:p w:rsidR="00106BE6" w:rsidRDefault="0010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B7"/>
    <w:rsid w:val="000617C7"/>
    <w:rsid w:val="00106BE6"/>
    <w:rsid w:val="001E1E3A"/>
    <w:rsid w:val="00431ACF"/>
    <w:rsid w:val="00477BFE"/>
    <w:rsid w:val="004F6CE4"/>
    <w:rsid w:val="00582C9D"/>
    <w:rsid w:val="005A4A0C"/>
    <w:rsid w:val="005C7C8E"/>
    <w:rsid w:val="005D5A23"/>
    <w:rsid w:val="006F265C"/>
    <w:rsid w:val="00712F7D"/>
    <w:rsid w:val="00776536"/>
    <w:rsid w:val="00922CC4"/>
    <w:rsid w:val="009635B7"/>
    <w:rsid w:val="009B5344"/>
    <w:rsid w:val="00D561F8"/>
    <w:rsid w:val="00E054AD"/>
    <w:rsid w:val="00ED4847"/>
    <w:rsid w:val="00EF36AA"/>
    <w:rsid w:val="00F9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E7AD0"/>
  <w15:chartTrackingRefBased/>
  <w15:docId w15:val="{F127EE6A-29E1-4184-9184-4D82F55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5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2F7D"/>
    <w:rPr>
      <w:rFonts w:ascii="Tahoma" w:hAnsi="Tahoma" w:cs="Tahoma"/>
      <w:sz w:val="16"/>
      <w:szCs w:val="16"/>
    </w:rPr>
  </w:style>
  <w:style w:type="character" w:styleId="Hyperlink">
    <w:name w:val="Hyperlink"/>
    <w:rsid w:val="001E1E3A"/>
    <w:rPr>
      <w:color w:val="0000FF"/>
      <w:u w:val="single"/>
    </w:rPr>
  </w:style>
  <w:style w:type="paragraph" w:styleId="Header">
    <w:name w:val="header"/>
    <w:basedOn w:val="Normal"/>
    <w:link w:val="HeaderChar"/>
    <w:uiPriority w:val="99"/>
    <w:rsid w:val="00922CC4"/>
    <w:pPr>
      <w:tabs>
        <w:tab w:val="center" w:pos="4680"/>
        <w:tab w:val="right" w:pos="9360"/>
      </w:tabs>
    </w:pPr>
  </w:style>
  <w:style w:type="character" w:customStyle="1" w:styleId="HeaderChar">
    <w:name w:val="Header Char"/>
    <w:basedOn w:val="DefaultParagraphFont"/>
    <w:link w:val="Header"/>
    <w:uiPriority w:val="99"/>
    <w:rsid w:val="00922CC4"/>
    <w:rPr>
      <w:sz w:val="24"/>
      <w:szCs w:val="24"/>
    </w:rPr>
  </w:style>
  <w:style w:type="paragraph" w:styleId="Footer">
    <w:name w:val="footer"/>
    <w:basedOn w:val="Normal"/>
    <w:link w:val="FooterChar"/>
    <w:rsid w:val="00922CC4"/>
    <w:pPr>
      <w:tabs>
        <w:tab w:val="center" w:pos="4680"/>
        <w:tab w:val="right" w:pos="9360"/>
      </w:tabs>
    </w:pPr>
  </w:style>
  <w:style w:type="character" w:customStyle="1" w:styleId="FooterChar">
    <w:name w:val="Footer Char"/>
    <w:basedOn w:val="DefaultParagraphFont"/>
    <w:link w:val="Footer"/>
    <w:rsid w:val="00922C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hare.everett.k12.wa.us/docushare/dsweb/Get/Document-32985/22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ushare.everett.k12.wa.us/docushare/dsweb/Get/Document-32981/200.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share.everett.k12.wa.us/docushare/dsweb/Get/Document-32965/100.3P.pdf" TargetMode="External"/><Relationship Id="rId11" Type="http://schemas.openxmlformats.org/officeDocument/2006/relationships/hyperlink" Target="http://apps.leg.wa.gov/wac/default.aspx?cite=200-110-040" TargetMode="External"/><Relationship Id="rId5" Type="http://schemas.openxmlformats.org/officeDocument/2006/relationships/endnotes" Target="endnotes.xml"/><Relationship Id="rId10" Type="http://schemas.openxmlformats.org/officeDocument/2006/relationships/hyperlink" Target="http://docushare.everett.k12.wa.us/docushare/dsweb/Get/Document-33000/440.pdf" TargetMode="External"/><Relationship Id="rId4" Type="http://schemas.openxmlformats.org/officeDocument/2006/relationships/footnotes" Target="footnotes.xml"/><Relationship Id="rId9" Type="http://schemas.openxmlformats.org/officeDocument/2006/relationships/hyperlink" Target="http://docushare.everett.k12.wa.us/docushare/dsweb/Get/Document-32989/2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Procedure No</vt:lpstr>
    </vt:vector>
  </TitlesOfParts>
  <Company>Everett Public Schools</Company>
  <LinksUpToDate>false</LinksUpToDate>
  <CharactersWithSpaces>2623</CharactersWithSpaces>
  <SharedDoc>false</SharedDoc>
  <HLinks>
    <vt:vector size="36" baseType="variant">
      <vt:variant>
        <vt:i4>1638404</vt:i4>
      </vt:variant>
      <vt:variant>
        <vt:i4>15</vt:i4>
      </vt:variant>
      <vt:variant>
        <vt:i4>0</vt:i4>
      </vt:variant>
      <vt:variant>
        <vt:i4>5</vt:i4>
      </vt:variant>
      <vt:variant>
        <vt:lpwstr>http://apps.leg.wa.gov/wac/default.aspx?cite=200-110-040</vt:lpwstr>
      </vt:variant>
      <vt:variant>
        <vt:lpwstr/>
      </vt:variant>
      <vt:variant>
        <vt:i4>5242957</vt:i4>
      </vt:variant>
      <vt:variant>
        <vt:i4>12</vt:i4>
      </vt:variant>
      <vt:variant>
        <vt:i4>0</vt:i4>
      </vt:variant>
      <vt:variant>
        <vt:i4>5</vt:i4>
      </vt:variant>
      <vt:variant>
        <vt:lpwstr>http://docushare.everett.k12.wa.us/docushare/dsweb/Get/Document-33000/440.pdf</vt:lpwstr>
      </vt:variant>
      <vt:variant>
        <vt:lpwstr/>
      </vt:variant>
      <vt:variant>
        <vt:i4>5767243</vt:i4>
      </vt:variant>
      <vt:variant>
        <vt:i4>9</vt:i4>
      </vt:variant>
      <vt:variant>
        <vt:i4>0</vt:i4>
      </vt:variant>
      <vt:variant>
        <vt:i4>5</vt:i4>
      </vt:variant>
      <vt:variant>
        <vt:lpwstr>http://docushare.everett.k12.wa.us/docushare/dsweb/Get/Document-32989/250.pdf</vt:lpwstr>
      </vt:variant>
      <vt:variant>
        <vt:lpwstr/>
      </vt:variant>
      <vt:variant>
        <vt:i4>6225991</vt:i4>
      </vt:variant>
      <vt:variant>
        <vt:i4>6</vt:i4>
      </vt:variant>
      <vt:variant>
        <vt:i4>0</vt:i4>
      </vt:variant>
      <vt:variant>
        <vt:i4>5</vt:i4>
      </vt:variant>
      <vt:variant>
        <vt:lpwstr>http://docushare.everett.k12.wa.us/docushare/dsweb/Get/Document-32985/220.pdf</vt:lpwstr>
      </vt:variant>
      <vt:variant>
        <vt:lpwstr/>
      </vt:variant>
      <vt:variant>
        <vt:i4>6094915</vt:i4>
      </vt:variant>
      <vt:variant>
        <vt:i4>3</vt:i4>
      </vt:variant>
      <vt:variant>
        <vt:i4>0</vt:i4>
      </vt:variant>
      <vt:variant>
        <vt:i4>5</vt:i4>
      </vt:variant>
      <vt:variant>
        <vt:lpwstr>http://docushare.everett.k12.wa.us/docushare/dsweb/Get/Document-32981/200.pdf</vt:lpwstr>
      </vt:variant>
      <vt:variant>
        <vt:lpwstr/>
      </vt:variant>
      <vt:variant>
        <vt:i4>5308493</vt:i4>
      </vt:variant>
      <vt:variant>
        <vt:i4>0</vt:i4>
      </vt:variant>
      <vt:variant>
        <vt:i4>0</vt:i4>
      </vt:variant>
      <vt:variant>
        <vt:i4>5</vt:i4>
      </vt:variant>
      <vt:variant>
        <vt:lpwstr>http://docushare.everett.k12.wa.us/docushare/dsweb/Get/Document-32965/100.3P.pdf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No</dc:title>
  <dc:subject/>
  <dc:creator>02075</dc:creator>
  <cp:keywords/>
  <dc:description/>
  <cp:lastModifiedBy>Newcomb, Kellee J.</cp:lastModifiedBy>
  <cp:revision>3</cp:revision>
  <cp:lastPrinted>2017-11-13T18:09:00Z</cp:lastPrinted>
  <dcterms:created xsi:type="dcterms:W3CDTF">2017-12-14T18:27:00Z</dcterms:created>
  <dcterms:modified xsi:type="dcterms:W3CDTF">2017-12-14T18:32:00Z</dcterms:modified>
</cp:coreProperties>
</file>