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90" w:rsidRDefault="00026BC3">
      <w:r>
        <w:rPr>
          <w:i/>
          <w:noProof/>
        </w:rPr>
        <w:drawing>
          <wp:anchor distT="0" distB="0" distL="114300" distR="114300" simplePos="0" relativeHeight="251660288" behindDoc="1" locked="0" layoutInCell="1" allowOverlap="1" wp14:anchorId="2EEEF182" wp14:editId="1FB3CF56">
            <wp:simplePos x="0" y="0"/>
            <wp:positionH relativeFrom="column">
              <wp:posOffset>6991351</wp:posOffset>
            </wp:positionH>
            <wp:positionV relativeFrom="paragraph">
              <wp:posOffset>-390525</wp:posOffset>
            </wp:positionV>
            <wp:extent cx="1847850" cy="1231900"/>
            <wp:effectExtent l="0" t="0" r="0" b="6350"/>
            <wp:wrapNone/>
            <wp:docPr id="2" name="Picture 2" descr="C:\Documents and Settings\05467\Local Settings\Temporary Internet Files\Content.IE5\BN5O06JN\MP9004484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5467\Local Settings\Temporary Internet Files\Content.IE5\BN5O06JN\MP90044845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46701" wp14:editId="4280747E">
                <wp:simplePos x="0" y="0"/>
                <wp:positionH relativeFrom="column">
                  <wp:posOffset>-36195</wp:posOffset>
                </wp:positionH>
                <wp:positionV relativeFrom="paragraph">
                  <wp:posOffset>-195580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2390" w:rsidRPr="004A0B91" w:rsidRDefault="009908B6" w:rsidP="00EC2390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Job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85pt;margin-top:-15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" filled="f" stroked="f">
                <v:textbox style="mso-fit-shape-to-text:t">
                  <w:txbxContent>
                    <w:p w:rsidR="00EC2390" w:rsidRPr="004A0B91" w:rsidRDefault="009908B6" w:rsidP="00EC2390">
                      <w:pPr>
                        <w:jc w:val="center"/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Job 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1809FF" w:rsidRPr="001809FF" w:rsidRDefault="00EC2390">
      <w:pPr>
        <w:rPr>
          <w:rFonts w:ascii="Tw Cen MT" w:hAnsi="Tw Cen MT"/>
          <w:sz w:val="24"/>
        </w:rPr>
      </w:pPr>
      <w:r w:rsidRPr="00192A18">
        <w:rPr>
          <w:rFonts w:ascii="Tw Cen MT" w:hAnsi="Tw Cen MT"/>
          <w:b/>
          <w:sz w:val="24"/>
          <w:u w:val="single"/>
        </w:rPr>
        <w:t>Learning Outcomes:</w:t>
      </w:r>
      <w:r>
        <w:rPr>
          <w:rFonts w:ascii="Tw Cen MT" w:hAnsi="Tw Cen MT"/>
          <w:sz w:val="24"/>
        </w:rPr>
        <w:t xml:space="preserve"> </w:t>
      </w:r>
      <w:r w:rsidR="009908B6" w:rsidRPr="009908B6">
        <w:rPr>
          <w:rFonts w:ascii="Tw Cen MT" w:hAnsi="Tw Cen MT"/>
          <w:b/>
          <w:sz w:val="24"/>
        </w:rPr>
        <w:t>Students will learn and practice the industry standard skills required to apply for 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20"/>
        <w:gridCol w:w="4590"/>
        <w:gridCol w:w="6768"/>
      </w:tblGrid>
      <w:tr w:rsidR="001809FF" w:rsidTr="00AA042D">
        <w:tc>
          <w:tcPr>
            <w:tcW w:w="1838" w:type="dxa"/>
          </w:tcPr>
          <w:p w:rsidR="001809FF" w:rsidRPr="001809FF" w:rsidRDefault="001809FF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Alignment with Standards:</w:t>
            </w:r>
          </w:p>
        </w:tc>
        <w:tc>
          <w:tcPr>
            <w:tcW w:w="12778" w:type="dxa"/>
            <w:gridSpan w:val="3"/>
          </w:tcPr>
          <w:p w:rsidR="001809FF" w:rsidRPr="00102220" w:rsidRDefault="001809FF" w:rsidP="00102220">
            <w:pPr>
              <w:autoSpaceDE w:val="0"/>
              <w:autoSpaceDN w:val="0"/>
              <w:adjustRightInd w:val="0"/>
              <w:rPr>
                <w:rFonts w:ascii="Tw Cen MT" w:hAnsi="Tw Cen MT" w:cs="Univers-CondensedBold"/>
                <w:b/>
                <w:bCs/>
              </w:rPr>
            </w:pPr>
            <w:r w:rsidRPr="00C820B9">
              <w:rPr>
                <w:rFonts w:ascii="Tw Cen MT" w:hAnsi="Tw Cen MT" w:cs="Tw Cen MT"/>
                <w:b/>
                <w:bCs/>
              </w:rPr>
              <w:t xml:space="preserve">Essential Academic Learning Requirements Grades 9/10 Grade Level Expectations: </w:t>
            </w:r>
            <w:r w:rsidRPr="00C820B9">
              <w:rPr>
                <w:rFonts w:ascii="Tw Cen MT" w:hAnsi="Tw Cen MT" w:cs="Tw Cen MT"/>
              </w:rPr>
              <w:t>This lesso</w:t>
            </w:r>
            <w:r w:rsidR="00102220">
              <w:rPr>
                <w:rFonts w:ascii="Tw Cen MT" w:hAnsi="Tw Cen MT" w:cs="Tw Cen MT"/>
              </w:rPr>
              <w:t xml:space="preserve">n is aligned with Writing 1.5.1, Reading 3.3.1, </w:t>
            </w:r>
            <w:r w:rsidR="00102220" w:rsidRPr="00102220">
              <w:rPr>
                <w:rFonts w:ascii="Tw Cen MT" w:hAnsi="Tw Cen MT" w:cs="Univers-CondensedBold"/>
                <w:bCs/>
              </w:rPr>
              <w:t>EALR 3: The student reads different materials for a variety of purposes. Component 3.3: Read for career applications</w:t>
            </w:r>
            <w:r w:rsidR="00102220" w:rsidRPr="00102220">
              <w:rPr>
                <w:rFonts w:ascii="Tw Cen MT" w:hAnsi="Tw Cen MT" w:cs="Tw Cen MT"/>
              </w:rPr>
              <w:t xml:space="preserve"> </w:t>
            </w:r>
            <w:r w:rsidRPr="00102220">
              <w:rPr>
                <w:rFonts w:ascii="Tw Cen MT" w:hAnsi="Tw Cen MT" w:cs="Tw Cen MT"/>
              </w:rPr>
              <w:t xml:space="preserve">and Educational Technology 1.3.2 and 1.3.3. Students will develop materials in a career-appropriate format. They will locate, analyze, and use information from a national career database. </w:t>
            </w:r>
          </w:p>
          <w:p w:rsidR="00A26AA5" w:rsidRPr="00C820B9" w:rsidRDefault="001809FF" w:rsidP="00C820B9">
            <w:pPr>
              <w:rPr>
                <w:rFonts w:ascii="Tw Cen MT" w:eastAsia="Times New Roman" w:hAnsi="Tw Cen MT" w:cs="Arial"/>
              </w:rPr>
            </w:pPr>
            <w:r w:rsidRPr="00102220">
              <w:rPr>
                <w:rFonts w:ascii="Tw Cen MT" w:hAnsi="Tw Cen MT" w:cs="Tw Cen MT"/>
                <w:b/>
                <w:bCs/>
              </w:rPr>
              <w:t xml:space="preserve">Common Core State Standards Grades 11-12: </w:t>
            </w:r>
            <w:r w:rsidR="00A26AA5" w:rsidRPr="00102220">
              <w:rPr>
                <w:rFonts w:ascii="Tw Cen MT" w:hAnsi="Tw Cen MT" w:cs="Tw Cen MT"/>
              </w:rPr>
              <w:t>This lesson is aligned with</w:t>
            </w:r>
            <w:r w:rsidR="00C820B9" w:rsidRPr="00102220">
              <w:rPr>
                <w:rFonts w:ascii="Tw Cen MT" w:hAnsi="Tw Cen MT" w:cs="Tw Cen MT"/>
              </w:rPr>
              <w:t xml:space="preserve"> College and Career Readiness Standards for Language 2 A and B d</w:t>
            </w:r>
            <w:r w:rsidR="00C820B9" w:rsidRPr="00102220">
              <w:rPr>
                <w:rFonts w:ascii="Tw Cen MT" w:eastAsia="Times New Roman" w:hAnsi="Tw Cen MT" w:cs="Arial"/>
              </w:rPr>
              <w:t>emonstrate command of the conventions of standard English</w:t>
            </w:r>
            <w:r w:rsidR="00C820B9" w:rsidRPr="00C820B9">
              <w:rPr>
                <w:rFonts w:ascii="Tw Cen MT" w:eastAsia="Times New Roman" w:hAnsi="Tw Cen MT" w:cs="Arial"/>
              </w:rPr>
              <w:t xml:space="preserve"> capitalization, punctuation, and spelling when writing. a. Observe hyphenation conventions. b. Spell correctly.</w:t>
            </w:r>
          </w:p>
          <w:p w:rsidR="001809FF" w:rsidRDefault="001809FF" w:rsidP="00C820B9">
            <w:pPr>
              <w:autoSpaceDE w:val="0"/>
              <w:autoSpaceDN w:val="0"/>
              <w:adjustRightInd w:val="0"/>
              <w:spacing w:after="55"/>
              <w:rPr>
                <w:rFonts w:ascii="Tw Cen MT" w:hAnsi="Tw Cen MT" w:cs="Tw Cen MT"/>
              </w:rPr>
            </w:pPr>
            <w:r w:rsidRPr="00C820B9">
              <w:rPr>
                <w:rFonts w:ascii="Tw Cen MT" w:hAnsi="Tw Cen MT" w:cs="Tw Cen MT"/>
                <w:b/>
                <w:bCs/>
              </w:rPr>
              <w:t xml:space="preserve">American School Counselor Association National Standards: </w:t>
            </w:r>
            <w:r w:rsidRPr="00C820B9">
              <w:rPr>
                <w:rFonts w:ascii="Tw Cen MT" w:hAnsi="Tw Cen MT" w:cs="Tw Cen MT"/>
              </w:rPr>
              <w:t xml:space="preserve">This lesson is aligned with ASCA </w:t>
            </w:r>
            <w:r w:rsidR="00C820B9" w:rsidRPr="00C820B9">
              <w:rPr>
                <w:rFonts w:ascii="Tw Cen MT" w:hAnsi="Tw Cen MT" w:cs="Tw Cen MT"/>
              </w:rPr>
              <w:t>Develop Employment Readiness,</w:t>
            </w:r>
            <w:r w:rsidR="002A46E6">
              <w:rPr>
                <w:rFonts w:ascii="Tw Cen MT" w:hAnsi="Tw Cen MT" w:cs="Tw Cen MT"/>
              </w:rPr>
              <w:t xml:space="preserve"> </w:t>
            </w:r>
            <w:r w:rsidR="002A46E6" w:rsidRPr="002A46E6">
              <w:rPr>
                <w:rFonts w:ascii="Tw Cen MT" w:hAnsi="Tw Cen MT" w:cs="Arial"/>
              </w:rPr>
              <w:t>Standard C: Students will understand the relationship between personal qualities, education, training and the world of work.</w:t>
            </w:r>
            <w:r w:rsidR="00C820B9" w:rsidRPr="002A46E6">
              <w:rPr>
                <w:rFonts w:ascii="Tw Cen MT" w:hAnsi="Tw Cen MT" w:cs="Tw Cen MT"/>
              </w:rPr>
              <w:t xml:space="preserve"> C:A2 </w:t>
            </w:r>
            <w:r w:rsidR="00C820B9" w:rsidRPr="002A46E6">
              <w:rPr>
                <w:rFonts w:ascii="Tw Cen MT" w:hAnsi="Tw Cen MT"/>
              </w:rPr>
              <w:t>C:A2.2 Apply job readiness skills to seek employment opportunities</w:t>
            </w:r>
            <w:r w:rsidRPr="002A46E6">
              <w:rPr>
                <w:rFonts w:ascii="Tw Cen MT" w:hAnsi="Tw Cen MT" w:cs="Tw Cen MT"/>
              </w:rPr>
              <w:t xml:space="preserve"> </w:t>
            </w:r>
          </w:p>
          <w:p w:rsidR="00DF1D52" w:rsidRDefault="00DF1D52" w:rsidP="00DF1D52">
            <w:pPr>
              <w:autoSpaceDE w:val="0"/>
              <w:autoSpaceDN w:val="0"/>
              <w:adjustRightInd w:val="0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>21</w:t>
            </w:r>
            <w:r w:rsidRPr="00B411C6">
              <w:rPr>
                <w:rFonts w:ascii="Tw Cen MT" w:hAnsi="Tw Cen MT" w:cs="Tw Cen MT"/>
                <w:b/>
                <w:color w:val="000000"/>
                <w:sz w:val="23"/>
                <w:szCs w:val="23"/>
                <w:vertAlign w:val="superscript"/>
              </w:rPr>
              <w:t>st</w:t>
            </w: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 xml:space="preserve"> Century Skills: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</w:p>
          <w:p w:rsidR="00DF1D52" w:rsidRDefault="00DF1D52" w:rsidP="00DF1D5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 xml:space="preserve">Self-direction: 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Systematic and comprehensive planning, </w:t>
            </w:r>
            <w:r w:rsidRPr="00B411C6">
              <w:rPr>
                <w:rFonts w:ascii="Tw Cen MT" w:hAnsi="Tw Cen MT" w:cs="Tw Cen MT"/>
                <w:color w:val="000000"/>
                <w:sz w:val="23"/>
                <w:szCs w:val="23"/>
              </w:rPr>
              <w:t>Self-instruction, Resources, Effective and su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stained effort, Self-monitoring and reflection, Results are valuable</w:t>
            </w:r>
          </w:p>
          <w:p w:rsidR="00DF1D52" w:rsidRDefault="00DF1D52" w:rsidP="00DF1D5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 xml:space="preserve">Digital Communication: 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Electronic environments, Media: Awareness of range of media, Conventions and etiquette in media,  Design elements, Responsible behavior</w:t>
            </w:r>
          </w:p>
          <w:p w:rsidR="00DF1D52" w:rsidRPr="00DF1D52" w:rsidRDefault="00DF1D52" w:rsidP="00DF1D5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DF1D52"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>Problem Solving:</w:t>
            </w:r>
            <w:r w:rsidRPr="00DF1D52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 Solving the problem</w:t>
            </w:r>
            <w:bookmarkStart w:id="0" w:name="_GoBack"/>
            <w:bookmarkEnd w:id="0"/>
          </w:p>
        </w:tc>
      </w:tr>
      <w:tr w:rsidR="009908B6" w:rsidTr="009908B6">
        <w:trPr>
          <w:trHeight w:val="350"/>
        </w:trPr>
        <w:tc>
          <w:tcPr>
            <w:tcW w:w="1838" w:type="dxa"/>
          </w:tcPr>
          <w:p w:rsidR="009908B6" w:rsidRPr="001809FF" w:rsidRDefault="009908B6" w:rsidP="00026BC3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Materials:</w:t>
            </w:r>
          </w:p>
        </w:tc>
        <w:tc>
          <w:tcPr>
            <w:tcW w:w="1420" w:type="dxa"/>
          </w:tcPr>
          <w:p w:rsidR="009908B6" w:rsidRPr="001809FF" w:rsidRDefault="009908B6" w:rsidP="00A26AA5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Teacher Lesson</w:t>
            </w:r>
          </w:p>
        </w:tc>
        <w:tc>
          <w:tcPr>
            <w:tcW w:w="4590" w:type="dxa"/>
          </w:tcPr>
          <w:p w:rsidR="009908B6" w:rsidRPr="009908B6" w:rsidRDefault="009908B6" w:rsidP="009908B6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Copies of hand outs:</w:t>
            </w:r>
            <w:r>
              <w:rPr>
                <w:rFonts w:ascii="Tw Cen MT" w:hAnsi="Tw Cen MT"/>
                <w:i/>
                <w:sz w:val="24"/>
              </w:rPr>
              <w:t xml:space="preserve"> </w:t>
            </w:r>
          </w:p>
          <w:p w:rsidR="009908B6" w:rsidRPr="00AA042D" w:rsidRDefault="009908B6" w:rsidP="00B05B38">
            <w:pPr>
              <w:pStyle w:val="ListParagraph"/>
              <w:ind w:left="360"/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i/>
                <w:sz w:val="20"/>
              </w:rPr>
              <w:t xml:space="preserve">Example </w:t>
            </w:r>
            <w:r w:rsidR="00B05B38">
              <w:rPr>
                <w:rFonts w:ascii="Tw Cen MT" w:hAnsi="Tw Cen MT"/>
                <w:i/>
                <w:sz w:val="20"/>
              </w:rPr>
              <w:t>1</w:t>
            </w:r>
            <w:r>
              <w:rPr>
                <w:rFonts w:ascii="Tw Cen MT" w:hAnsi="Tw Cen MT"/>
                <w:i/>
                <w:sz w:val="20"/>
              </w:rPr>
              <w:t>Paper_Pencil_Employment_Application</w:t>
            </w:r>
          </w:p>
        </w:tc>
        <w:tc>
          <w:tcPr>
            <w:tcW w:w="6768" w:type="dxa"/>
          </w:tcPr>
          <w:p w:rsidR="009908B6" w:rsidRPr="009908B6" w:rsidRDefault="009908B6" w:rsidP="009908B6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Computer/Internet Access</w:t>
            </w:r>
            <w:r w:rsidRPr="009908B6">
              <w:rPr>
                <w:rFonts w:ascii="Tw Cen MT" w:hAnsi="Tw Cen MT"/>
                <w:b/>
                <w:sz w:val="24"/>
              </w:rPr>
              <w:t xml:space="preserve"> </w:t>
            </w:r>
          </w:p>
          <w:p w:rsidR="009908B6" w:rsidRPr="009908B6" w:rsidRDefault="009908B6" w:rsidP="00B05B38">
            <w:p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 xml:space="preserve">Download/complete </w:t>
            </w:r>
            <w:r w:rsidRPr="009908B6">
              <w:rPr>
                <w:rFonts w:ascii="Tw Cen MT" w:hAnsi="Tw Cen MT"/>
                <w:i/>
                <w:sz w:val="24"/>
              </w:rPr>
              <w:t xml:space="preserve">Example </w:t>
            </w:r>
            <w:r w:rsidR="00B05B38">
              <w:rPr>
                <w:rFonts w:ascii="Tw Cen MT" w:hAnsi="Tw Cen MT"/>
                <w:i/>
                <w:sz w:val="24"/>
              </w:rPr>
              <w:t>2</w:t>
            </w:r>
            <w:r w:rsidRPr="009908B6">
              <w:rPr>
                <w:rFonts w:ascii="Tw Cen MT" w:hAnsi="Tw Cen MT"/>
                <w:i/>
                <w:sz w:val="24"/>
              </w:rPr>
              <w:t>-Electronic_Employment_Application</w:t>
            </w:r>
          </w:p>
        </w:tc>
      </w:tr>
      <w:tr w:rsidR="001809FF" w:rsidTr="00AA042D">
        <w:tc>
          <w:tcPr>
            <w:tcW w:w="1838" w:type="dxa"/>
          </w:tcPr>
          <w:p w:rsidR="001809FF" w:rsidRPr="001809FF" w:rsidRDefault="001809FF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Implementation:</w:t>
            </w:r>
          </w:p>
        </w:tc>
        <w:tc>
          <w:tcPr>
            <w:tcW w:w="12778" w:type="dxa"/>
            <w:gridSpan w:val="3"/>
          </w:tcPr>
          <w:p w:rsidR="003D7D04" w:rsidRPr="00F93873" w:rsidRDefault="003D7D04" w:rsidP="003D7D04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F93873">
              <w:rPr>
                <w:rFonts w:ascii="Tw Cen MT" w:hAnsi="Tw Cen MT"/>
                <w:b/>
                <w:sz w:val="24"/>
                <w:szCs w:val="24"/>
                <w:u w:val="single"/>
              </w:rPr>
              <w:t>Ask</w:t>
            </w:r>
            <w:r w:rsidRPr="00F93873">
              <w:rPr>
                <w:rFonts w:ascii="Tw Cen MT" w:hAnsi="Tw Cen MT"/>
                <w:sz w:val="24"/>
                <w:szCs w:val="24"/>
              </w:rPr>
              <w:t xml:space="preserve"> students </w:t>
            </w:r>
            <w:r w:rsidR="002306FF">
              <w:rPr>
                <w:rFonts w:ascii="Tw Cen MT" w:hAnsi="Tw Cen MT"/>
                <w:sz w:val="24"/>
                <w:szCs w:val="24"/>
              </w:rPr>
              <w:t xml:space="preserve">about their prior knowledge &amp; experiences when completing job applications.  </w:t>
            </w:r>
            <w:r w:rsidR="002306FF" w:rsidRPr="002306FF">
              <w:rPr>
                <w:rFonts w:ascii="Tw Cen MT" w:hAnsi="Tw Cen MT"/>
                <w:b/>
                <w:sz w:val="24"/>
                <w:szCs w:val="24"/>
              </w:rPr>
              <w:t>Discuss</w:t>
            </w:r>
            <w:r w:rsidR="002306FF">
              <w:rPr>
                <w:rFonts w:ascii="Tw Cen MT" w:hAnsi="Tw Cen MT"/>
                <w:sz w:val="24"/>
                <w:szCs w:val="24"/>
              </w:rPr>
              <w:t xml:space="preserve"> personal positive/negative experiences, what they learned, and outcomes of their applications.</w:t>
            </w:r>
            <w:r w:rsidRPr="00F93873">
              <w:rPr>
                <w:rFonts w:ascii="Tw Cen MT" w:hAnsi="Tw Cen MT" w:cs="Tw Cen MT"/>
                <w:color w:val="000000"/>
                <w:sz w:val="24"/>
                <w:szCs w:val="24"/>
              </w:rPr>
              <w:t xml:space="preserve"> </w:t>
            </w:r>
          </w:p>
          <w:p w:rsidR="00256091" w:rsidRDefault="00256091" w:rsidP="003D7D04">
            <w:pPr>
              <w:pStyle w:val="Default"/>
              <w:numPr>
                <w:ilvl w:val="0"/>
                <w:numId w:val="3"/>
              </w:numPr>
            </w:pPr>
            <w:proofErr w:type="gramStart"/>
            <w:r>
              <w:rPr>
                <w:b/>
                <w:u w:val="single"/>
              </w:rPr>
              <w:t xml:space="preserve">Present </w:t>
            </w:r>
            <w:r>
              <w:t xml:space="preserve"> PowerPoint</w:t>
            </w:r>
            <w:proofErr w:type="gramEnd"/>
            <w:r>
              <w:t xml:space="preserve"> providing them with</w:t>
            </w:r>
            <w:r w:rsidR="002306FF">
              <w:t xml:space="preserve"> more background information on the application process.</w:t>
            </w:r>
          </w:p>
          <w:p w:rsidR="00B05B38" w:rsidRDefault="00B05B38" w:rsidP="003D7D04">
            <w:pPr>
              <w:pStyle w:val="Default"/>
              <w:numPr>
                <w:ilvl w:val="0"/>
                <w:numId w:val="3"/>
              </w:numPr>
            </w:pPr>
            <w:r>
              <w:rPr>
                <w:b/>
                <w:u w:val="single"/>
              </w:rPr>
              <w:t>Show</w:t>
            </w:r>
            <w:r>
              <w:t xml:space="preserve"> students the two types of applications they will be practicing; </w:t>
            </w:r>
            <w:r>
              <w:rPr>
                <w:b/>
              </w:rPr>
              <w:t>hard copy &amp; electronic</w:t>
            </w:r>
          </w:p>
          <w:p w:rsidR="001D1056" w:rsidRDefault="00F158BF" w:rsidP="00F158BF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</w:rPr>
            </w:pPr>
            <w:r w:rsidRPr="001D1056">
              <w:rPr>
                <w:rFonts w:ascii="Tw Cen MT" w:hAnsi="Tw Cen MT"/>
                <w:sz w:val="24"/>
                <w:szCs w:val="24"/>
              </w:rPr>
              <w:t>Students will each need a</w:t>
            </w:r>
            <w:r w:rsidR="00B05B38" w:rsidRPr="001D1056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B05B38" w:rsidRPr="001D1056">
              <w:rPr>
                <w:rFonts w:ascii="Tw Cen MT" w:hAnsi="Tw Cen MT"/>
                <w:b/>
                <w:sz w:val="24"/>
                <w:szCs w:val="24"/>
              </w:rPr>
              <w:t xml:space="preserve">copy </w:t>
            </w:r>
            <w:r w:rsidR="00B05B38" w:rsidRPr="001D1056">
              <w:rPr>
                <w:rFonts w:ascii="Tw Cen MT" w:hAnsi="Tw Cen MT"/>
                <w:sz w:val="24"/>
                <w:szCs w:val="24"/>
              </w:rPr>
              <w:t xml:space="preserve">of the </w:t>
            </w:r>
            <w:r w:rsidR="00B05B38" w:rsidRPr="001D1056">
              <w:rPr>
                <w:rFonts w:ascii="Tw Cen MT" w:hAnsi="Tw Cen MT"/>
                <w:b/>
                <w:i/>
                <w:sz w:val="24"/>
              </w:rPr>
              <w:t>Example 1Paper_Pencil_Employment_Application</w:t>
            </w:r>
            <w:r w:rsidR="00B05B38" w:rsidRPr="001D1056">
              <w:rPr>
                <w:rFonts w:ascii="Tw Cen MT" w:hAnsi="Tw Cen MT"/>
                <w:sz w:val="28"/>
                <w:szCs w:val="24"/>
              </w:rPr>
              <w:t xml:space="preserve"> </w:t>
            </w:r>
            <w:r w:rsidR="00B05B38" w:rsidRPr="001D1056">
              <w:rPr>
                <w:rFonts w:ascii="Tw Cen MT" w:hAnsi="Tw Cen MT"/>
                <w:sz w:val="24"/>
                <w:szCs w:val="24"/>
              </w:rPr>
              <w:t xml:space="preserve">&amp; after </w:t>
            </w:r>
            <w:r w:rsidR="001D1056" w:rsidRPr="001D1056">
              <w:rPr>
                <w:rFonts w:ascii="Tw Cen MT" w:hAnsi="Tw Cen MT"/>
                <w:sz w:val="24"/>
                <w:szCs w:val="24"/>
              </w:rPr>
              <w:t>completion;</w:t>
            </w:r>
            <w:r w:rsidR="00B05B38" w:rsidRPr="001D1056">
              <w:rPr>
                <w:rFonts w:ascii="Tw Cen MT" w:hAnsi="Tw Cen MT"/>
                <w:sz w:val="24"/>
                <w:szCs w:val="24"/>
              </w:rPr>
              <w:t xml:space="preserve"> students will each need a </w:t>
            </w:r>
            <w:r w:rsidR="00B05B38" w:rsidRPr="001D1056">
              <w:rPr>
                <w:rFonts w:ascii="Tw Cen MT" w:hAnsi="Tw Cen MT"/>
                <w:b/>
                <w:sz w:val="24"/>
                <w:szCs w:val="24"/>
              </w:rPr>
              <w:t>co</w:t>
            </w:r>
            <w:r w:rsidRPr="001D1056">
              <w:rPr>
                <w:rFonts w:ascii="Tw Cen MT" w:hAnsi="Tw Cen MT"/>
                <w:b/>
                <w:sz w:val="24"/>
                <w:szCs w:val="24"/>
              </w:rPr>
              <w:t>mputer</w:t>
            </w:r>
            <w:r w:rsidR="001D1056" w:rsidRPr="001D1056">
              <w:rPr>
                <w:rFonts w:ascii="Tw Cen MT" w:hAnsi="Tw Cen MT"/>
                <w:sz w:val="24"/>
                <w:szCs w:val="24"/>
              </w:rPr>
              <w:t xml:space="preserve"> to download/open &amp; complete </w:t>
            </w:r>
            <w:r w:rsidR="001D1056" w:rsidRPr="001D1056">
              <w:rPr>
                <w:rFonts w:ascii="Tw Cen MT" w:hAnsi="Tw Cen MT"/>
                <w:b/>
                <w:i/>
                <w:sz w:val="24"/>
              </w:rPr>
              <w:t>Example 2-Electronic_Employment_Application</w:t>
            </w:r>
            <w:r w:rsidR="001D1056">
              <w:rPr>
                <w:rFonts w:ascii="Tw Cen MT" w:hAnsi="Tw Cen MT"/>
                <w:b/>
                <w:sz w:val="24"/>
                <w:szCs w:val="24"/>
              </w:rPr>
              <w:t>.</w:t>
            </w:r>
          </w:p>
          <w:p w:rsidR="003D7D04" w:rsidRPr="003D7D04" w:rsidRDefault="004A0B91" w:rsidP="00575C36">
            <w:pPr>
              <w:pStyle w:val="Default"/>
              <w:numPr>
                <w:ilvl w:val="0"/>
                <w:numId w:val="3"/>
              </w:numPr>
            </w:pPr>
            <w:r w:rsidRPr="00F93873">
              <w:t xml:space="preserve">When students have completed </w:t>
            </w:r>
            <w:r w:rsidR="001D1056">
              <w:t xml:space="preserve">both practices </w:t>
            </w:r>
            <w:r w:rsidRPr="00F93873">
              <w:t>they will</w:t>
            </w:r>
            <w:r w:rsidR="00575C36">
              <w:t xml:space="preserve"> </w:t>
            </w:r>
            <w:r w:rsidR="00575C36" w:rsidRPr="00575C36">
              <w:rPr>
                <w:b/>
              </w:rPr>
              <w:t>SAVE</w:t>
            </w:r>
            <w:r w:rsidR="00575C36">
              <w:t xml:space="preserve"> the electronic employment application with their name and </w:t>
            </w:r>
            <w:r w:rsidRPr="00575C36">
              <w:rPr>
                <w:b/>
                <w:color w:val="auto"/>
                <w:u w:val="single"/>
              </w:rPr>
              <w:t>UPLOAD</w:t>
            </w:r>
            <w:r w:rsidRPr="00575C36">
              <w:rPr>
                <w:color w:val="auto"/>
              </w:rPr>
              <w:t xml:space="preserve"> it with their name to the class Moodle site. </w:t>
            </w:r>
          </w:p>
        </w:tc>
      </w:tr>
      <w:tr w:rsidR="001809FF" w:rsidTr="00AA042D">
        <w:tc>
          <w:tcPr>
            <w:tcW w:w="1838" w:type="dxa"/>
          </w:tcPr>
          <w:p w:rsidR="001809FF" w:rsidRPr="00F30A95" w:rsidRDefault="00F30A95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Additional Resources:</w:t>
            </w:r>
          </w:p>
        </w:tc>
        <w:tc>
          <w:tcPr>
            <w:tcW w:w="12778" w:type="dxa"/>
            <w:gridSpan w:val="3"/>
          </w:tcPr>
          <w:p w:rsidR="001809FF" w:rsidRPr="00BE13EC" w:rsidRDefault="00BE13EC" w:rsidP="00F30A95">
            <w:pPr>
              <w:autoSpaceDE w:val="0"/>
              <w:autoSpaceDN w:val="0"/>
              <w:adjustRightInd w:val="0"/>
              <w:spacing w:after="55"/>
              <w:rPr>
                <w:rFonts w:ascii="Tw Cen MT" w:hAnsi="Tw Cen MT" w:cs="Tw Cen MT"/>
                <w:b/>
                <w:bCs/>
                <w:color w:val="000000"/>
                <w:sz w:val="23"/>
                <w:szCs w:val="23"/>
              </w:rPr>
            </w:pPr>
            <w:r w:rsidRPr="00BE13EC">
              <w:rPr>
                <w:rFonts w:ascii="Tw Cen MT" w:hAnsi="Tw Cen MT" w:cs="Tw Cen MT"/>
                <w:b/>
                <w:bCs/>
                <w:color w:val="000000"/>
                <w:sz w:val="23"/>
                <w:szCs w:val="23"/>
              </w:rPr>
              <w:t>Career Ready 101:</w:t>
            </w:r>
            <w:r w:rsidRPr="00BE13EC">
              <w:rPr>
                <w:rFonts w:ascii="Tw Cen MT" w:hAnsi="Tw Cen MT" w:cs="Tw Cen MT"/>
                <w:bCs/>
                <w:color w:val="000000"/>
                <w:sz w:val="23"/>
                <w:szCs w:val="23"/>
              </w:rPr>
              <w:t xml:space="preserve">  </w:t>
            </w:r>
            <w:r w:rsidR="00F30A95" w:rsidRPr="00BE13EC">
              <w:rPr>
                <w:rFonts w:ascii="Tw Cen MT" w:hAnsi="Tw Cen MT" w:cs="Tw Cen MT"/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Pr="00BE13EC">
                <w:rPr>
                  <w:rStyle w:val="Hyperlink"/>
                  <w:rFonts w:ascii="Tw Cen MT" w:hAnsi="Tw Cen MT"/>
                </w:rPr>
                <w:t>http://run.careerready101.com/cr-main/login.asp</w:t>
              </w:r>
            </w:hyperlink>
          </w:p>
        </w:tc>
      </w:tr>
    </w:tbl>
    <w:p w:rsidR="00FE49C7" w:rsidRPr="002A5343" w:rsidRDefault="00FE49C7" w:rsidP="00E11087">
      <w:pPr>
        <w:rPr>
          <w:rFonts w:ascii="Tw Cen MT" w:hAnsi="Tw Cen MT"/>
          <w:b/>
          <w:sz w:val="28"/>
        </w:rPr>
      </w:pPr>
    </w:p>
    <w:sectPr w:rsidR="00FE49C7" w:rsidRPr="002A5343" w:rsidSect="00301A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D2D"/>
    <w:multiLevelType w:val="hybridMultilevel"/>
    <w:tmpl w:val="5B30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9236E"/>
    <w:multiLevelType w:val="hybridMultilevel"/>
    <w:tmpl w:val="90802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0796F"/>
    <w:multiLevelType w:val="hybridMultilevel"/>
    <w:tmpl w:val="0518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F5BB4"/>
    <w:multiLevelType w:val="hybridMultilevel"/>
    <w:tmpl w:val="706EB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90"/>
    <w:rsid w:val="00026BC3"/>
    <w:rsid w:val="00070789"/>
    <w:rsid w:val="00102220"/>
    <w:rsid w:val="001809FF"/>
    <w:rsid w:val="00192A18"/>
    <w:rsid w:val="001C47DC"/>
    <w:rsid w:val="001D1056"/>
    <w:rsid w:val="001E4E54"/>
    <w:rsid w:val="001F733D"/>
    <w:rsid w:val="002306FF"/>
    <w:rsid w:val="00237C73"/>
    <w:rsid w:val="002526CA"/>
    <w:rsid w:val="00256091"/>
    <w:rsid w:val="00262E3D"/>
    <w:rsid w:val="002A46E6"/>
    <w:rsid w:val="002A5343"/>
    <w:rsid w:val="00301AA3"/>
    <w:rsid w:val="00361904"/>
    <w:rsid w:val="003D7D04"/>
    <w:rsid w:val="004A0B91"/>
    <w:rsid w:val="004D70B0"/>
    <w:rsid w:val="00522334"/>
    <w:rsid w:val="00575C36"/>
    <w:rsid w:val="007C7ED4"/>
    <w:rsid w:val="00865CAC"/>
    <w:rsid w:val="008E5449"/>
    <w:rsid w:val="00913B9E"/>
    <w:rsid w:val="00950A92"/>
    <w:rsid w:val="0098755A"/>
    <w:rsid w:val="00987BFC"/>
    <w:rsid w:val="009908B6"/>
    <w:rsid w:val="009F0BC1"/>
    <w:rsid w:val="00A26AA5"/>
    <w:rsid w:val="00A57582"/>
    <w:rsid w:val="00AA042D"/>
    <w:rsid w:val="00B05B38"/>
    <w:rsid w:val="00B062C8"/>
    <w:rsid w:val="00BE13EC"/>
    <w:rsid w:val="00C01610"/>
    <w:rsid w:val="00C22336"/>
    <w:rsid w:val="00C37717"/>
    <w:rsid w:val="00C47F1C"/>
    <w:rsid w:val="00C820B9"/>
    <w:rsid w:val="00D7139D"/>
    <w:rsid w:val="00DF1D52"/>
    <w:rsid w:val="00E11087"/>
    <w:rsid w:val="00E20DCE"/>
    <w:rsid w:val="00E81FAC"/>
    <w:rsid w:val="00EC2390"/>
    <w:rsid w:val="00F158BF"/>
    <w:rsid w:val="00F30A95"/>
    <w:rsid w:val="00F4478A"/>
    <w:rsid w:val="00F93873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A18"/>
    <w:pPr>
      <w:ind w:left="720"/>
      <w:contextualSpacing/>
    </w:pPr>
  </w:style>
  <w:style w:type="paragraph" w:customStyle="1" w:styleId="Default">
    <w:name w:val="Default"/>
    <w:rsid w:val="00192A18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customStyle="1" w:styleId="ooh-intro2">
    <w:name w:val="ooh-intro2"/>
    <w:basedOn w:val="Normal"/>
    <w:rsid w:val="00262E3D"/>
    <w:pPr>
      <w:spacing w:after="240" w:line="336" w:lineRule="atLeast"/>
    </w:pPr>
    <w:rPr>
      <w:rFonts w:ascii="Tahoma" w:eastAsia="Times New Roman" w:hAnsi="Tahoma" w:cs="Tahoma"/>
      <w:color w:val="33333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D7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A18"/>
    <w:pPr>
      <w:ind w:left="720"/>
      <w:contextualSpacing/>
    </w:pPr>
  </w:style>
  <w:style w:type="paragraph" w:customStyle="1" w:styleId="Default">
    <w:name w:val="Default"/>
    <w:rsid w:val="00192A18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customStyle="1" w:styleId="ooh-intro2">
    <w:name w:val="ooh-intro2"/>
    <w:basedOn w:val="Normal"/>
    <w:rsid w:val="00262E3D"/>
    <w:pPr>
      <w:spacing w:after="240" w:line="336" w:lineRule="atLeast"/>
    </w:pPr>
    <w:rPr>
      <w:rFonts w:ascii="Tahoma" w:eastAsia="Times New Roman" w:hAnsi="Tahoma" w:cs="Tahoma"/>
      <w:color w:val="33333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D7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20316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n.careerready101.com/cr-main/login.as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95CB-5851-461B-AFF3-3F9DFF21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Pewitt, Sarah</dc:creator>
  <cp:lastModifiedBy>Pewitt, Sarah</cp:lastModifiedBy>
  <cp:revision>10</cp:revision>
  <dcterms:created xsi:type="dcterms:W3CDTF">2013-06-22T14:03:00Z</dcterms:created>
  <dcterms:modified xsi:type="dcterms:W3CDTF">2013-07-05T19:59:00Z</dcterms:modified>
</cp:coreProperties>
</file>