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90" w:rsidRDefault="004D75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F3C65" wp14:editId="327CB99F">
                <wp:simplePos x="0" y="0"/>
                <wp:positionH relativeFrom="column">
                  <wp:posOffset>-274320</wp:posOffset>
                </wp:positionH>
                <wp:positionV relativeFrom="paragraph">
                  <wp:posOffset>-298450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390" w:rsidRPr="004A0B91" w:rsidRDefault="006733FD" w:rsidP="00EC239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NCRC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6pt;margin-top:-23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" filled="f" stroked="f">
                <v:textbox style="mso-fit-shape-to-text:t">
                  <w:txbxContent>
                    <w:p w:rsidR="00EC2390" w:rsidRPr="004A0B91" w:rsidRDefault="006733FD" w:rsidP="00EC2390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NCRC </w:t>
                      </w:r>
                    </w:p>
                  </w:txbxContent>
                </v:textbox>
              </v:shape>
            </w:pict>
          </mc:Fallback>
        </mc:AlternateContent>
      </w:r>
      <w:r w:rsidR="00026BC3"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0B21418B" wp14:editId="15DC33E3">
            <wp:simplePos x="0" y="0"/>
            <wp:positionH relativeFrom="column">
              <wp:posOffset>6991351</wp:posOffset>
            </wp:positionH>
            <wp:positionV relativeFrom="paragraph">
              <wp:posOffset>-390525</wp:posOffset>
            </wp:positionV>
            <wp:extent cx="1847850" cy="1231900"/>
            <wp:effectExtent l="0" t="0" r="0" b="6350"/>
            <wp:wrapNone/>
            <wp:docPr id="2" name="Picture 2" descr="C:\Documents and Settings\05467\Local Settings\Temporary Internet Files\Content.IE5\BN5O06JN\MP9004484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5467\Local Settings\Temporary Internet Files\Content.IE5\BN5O06JN\MP90044845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3A" w:rsidRPr="00207457" w:rsidRDefault="00EC2390" w:rsidP="004D753A">
      <w:pPr>
        <w:spacing w:after="0" w:line="240" w:lineRule="auto"/>
        <w:rPr>
          <w:rFonts w:ascii="Tw Cen MT" w:hAnsi="Tw Cen MT" w:cs="Arial"/>
          <w:b/>
        </w:rPr>
      </w:pPr>
      <w:r w:rsidRPr="00192A18">
        <w:rPr>
          <w:rFonts w:ascii="Tw Cen MT" w:hAnsi="Tw Cen MT"/>
          <w:b/>
          <w:sz w:val="24"/>
          <w:u w:val="single"/>
        </w:rPr>
        <w:t>Learning Outcomes:</w:t>
      </w:r>
      <w:r>
        <w:rPr>
          <w:rFonts w:ascii="Tw Cen MT" w:hAnsi="Tw Cen MT"/>
          <w:sz w:val="24"/>
        </w:rPr>
        <w:t xml:space="preserve"> </w:t>
      </w:r>
      <w:r w:rsidR="004D753A" w:rsidRPr="00207457">
        <w:rPr>
          <w:rFonts w:ascii="Tw Cen MT" w:hAnsi="Tw Cen MT" w:cs="Arial"/>
          <w:b/>
          <w:sz w:val="24"/>
        </w:rPr>
        <w:t>Students will</w:t>
      </w:r>
      <w:r w:rsidR="00207457">
        <w:rPr>
          <w:rFonts w:ascii="Tw Cen MT" w:hAnsi="Tw Cen MT" w:cs="Arial"/>
        </w:rPr>
        <w:t xml:space="preserve"> </w:t>
      </w:r>
      <w:r w:rsidR="00207457">
        <w:rPr>
          <w:rFonts w:ascii="Tw Cen MT" w:hAnsi="Tw Cen MT" w:cs="Arial"/>
          <w:b/>
        </w:rPr>
        <w:t xml:space="preserve">successfully complete </w:t>
      </w:r>
      <w:proofErr w:type="gramStart"/>
      <w:r w:rsidR="00207457">
        <w:rPr>
          <w:rFonts w:ascii="Tw Cen MT" w:hAnsi="Tw Cen MT" w:cs="Arial"/>
          <w:b/>
        </w:rPr>
        <w:t>a portable credential that demonstrate</w:t>
      </w:r>
      <w:proofErr w:type="gramEnd"/>
      <w:r w:rsidR="00207457">
        <w:rPr>
          <w:rFonts w:ascii="Tw Cen MT" w:hAnsi="Tw Cen MT" w:cs="Arial"/>
          <w:b/>
        </w:rPr>
        <w:t xml:space="preserve"> workplace employability.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030"/>
        <w:gridCol w:w="4590"/>
        <w:gridCol w:w="4158"/>
      </w:tblGrid>
      <w:tr w:rsidR="001809FF" w:rsidTr="00FA48BB">
        <w:trPr>
          <w:trHeight w:val="1646"/>
        </w:trPr>
        <w:tc>
          <w:tcPr>
            <w:tcW w:w="1838" w:type="dxa"/>
          </w:tcPr>
          <w:p w:rsidR="001809FF" w:rsidRPr="00992DE3" w:rsidRDefault="001809FF">
            <w:pPr>
              <w:rPr>
                <w:rFonts w:ascii="Tw Cen MT" w:hAnsi="Tw Cen MT"/>
                <w:b/>
                <w:sz w:val="24"/>
              </w:rPr>
            </w:pPr>
            <w:r w:rsidRPr="00992DE3">
              <w:rPr>
                <w:rFonts w:ascii="Tw Cen MT" w:hAnsi="Tw Cen MT"/>
                <w:b/>
                <w:sz w:val="24"/>
              </w:rPr>
              <w:t>Alignment with Standards:</w:t>
            </w:r>
          </w:p>
        </w:tc>
        <w:tc>
          <w:tcPr>
            <w:tcW w:w="12778" w:type="dxa"/>
            <w:gridSpan w:val="3"/>
          </w:tcPr>
          <w:p w:rsidR="001809FF" w:rsidRDefault="00315CC9" w:rsidP="00207457">
            <w:pPr>
              <w:rPr>
                <w:rFonts w:ascii="Tw Cen MT" w:eastAsia="Times New Roman" w:hAnsi="Tw Cen MT" w:cs="Times New Roman"/>
              </w:rPr>
            </w:pPr>
            <w:r w:rsidRPr="000E144A">
              <w:rPr>
                <w:rFonts w:ascii="Tw Cen MT" w:hAnsi="Tw Cen MT" w:cs="Arial"/>
                <w:b/>
              </w:rPr>
              <w:t>American School Counselor Association National Standards:</w:t>
            </w:r>
            <w:r w:rsidRPr="000E144A">
              <w:rPr>
                <w:rFonts w:ascii="Tw Cen MT" w:hAnsi="Tw Cen MT" w:cs="Arial"/>
              </w:rPr>
              <w:t xml:space="preserve"> This lesson is aligned with ASCA </w:t>
            </w:r>
            <w:r w:rsidR="000E144A" w:rsidRPr="000E144A">
              <w:rPr>
                <w:rFonts w:ascii="Tw Cen MT" w:eastAsia="Times New Roman" w:hAnsi="Tw Cen MT" w:cs="Arial"/>
              </w:rPr>
              <w:t xml:space="preserve">Standard A: Students will acquire the skills to investigate the world of work in relation to knowledge of self and to make informed career decisions. </w:t>
            </w:r>
            <w:r w:rsidR="000E144A" w:rsidRPr="000E144A">
              <w:rPr>
                <w:rFonts w:ascii="Tw Cen MT" w:hAnsi="Tw Cen MT"/>
              </w:rPr>
              <w:t>C</w:t>
            </w:r>
            <w:proofErr w:type="gramStart"/>
            <w:r w:rsidR="000E144A" w:rsidRPr="000E144A">
              <w:rPr>
                <w:rFonts w:ascii="Tw Cen MT" w:hAnsi="Tw Cen MT"/>
              </w:rPr>
              <w:t>:A1</w:t>
            </w:r>
            <w:proofErr w:type="gramEnd"/>
            <w:r w:rsidR="000E144A" w:rsidRPr="000E144A">
              <w:rPr>
                <w:rFonts w:ascii="Tw Cen MT" w:hAnsi="Tw Cen MT"/>
              </w:rPr>
              <w:t xml:space="preserve"> Develop Career Awareness, </w:t>
            </w:r>
            <w:r w:rsidR="000E144A" w:rsidRPr="000E144A">
              <w:rPr>
                <w:rFonts w:ascii="Tw Cen MT" w:eastAsia="Times New Roman" w:hAnsi="Tw Cen MT" w:cs="Times New Roman"/>
              </w:rPr>
              <w:t>C:A1.3. Develop an awareness of personal abilities, skills, interests and motivations.</w:t>
            </w:r>
          </w:p>
          <w:p w:rsidR="001D7E0D" w:rsidRDefault="001D7E0D" w:rsidP="001D7E0D">
            <w:pPr>
              <w:autoSpaceDE w:val="0"/>
              <w:autoSpaceDN w:val="0"/>
              <w:adjustRightInd w:val="0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21</w:t>
            </w:r>
            <w:r w:rsidRPr="00B411C6">
              <w:rPr>
                <w:rFonts w:ascii="Tw Cen MT" w:hAnsi="Tw Cen MT" w:cs="Tw Cen MT"/>
                <w:b/>
                <w:color w:val="000000"/>
                <w:sz w:val="23"/>
                <w:szCs w:val="23"/>
                <w:vertAlign w:val="superscript"/>
              </w:rPr>
              <w:t>st</w:t>
            </w: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 Century Skills: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  <w:p w:rsidR="001D7E0D" w:rsidRDefault="001D7E0D" w:rsidP="001D7E0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Digital Communication: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Electronic environments</w:t>
            </w:r>
          </w:p>
          <w:p w:rsidR="001D7E0D" w:rsidRPr="001D7E0D" w:rsidRDefault="001D7E0D" w:rsidP="001D7E0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1D7E0D"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Problem Solving:</w:t>
            </w:r>
            <w:r w:rsidRPr="001D7E0D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 Solving the problem</w:t>
            </w:r>
            <w:bookmarkStart w:id="0" w:name="_GoBack"/>
            <w:bookmarkEnd w:id="0"/>
          </w:p>
        </w:tc>
      </w:tr>
      <w:tr w:rsidR="00C12543" w:rsidTr="00C12543">
        <w:trPr>
          <w:trHeight w:val="350"/>
        </w:trPr>
        <w:tc>
          <w:tcPr>
            <w:tcW w:w="1838" w:type="dxa"/>
          </w:tcPr>
          <w:p w:rsidR="00C12543" w:rsidRPr="001809FF" w:rsidRDefault="00C12543" w:rsidP="00026BC3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Materials:</w:t>
            </w:r>
          </w:p>
        </w:tc>
        <w:tc>
          <w:tcPr>
            <w:tcW w:w="4030" w:type="dxa"/>
          </w:tcPr>
          <w:p w:rsidR="00C12543" w:rsidRPr="001809FF" w:rsidRDefault="00C12543" w:rsidP="00A26AA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Teacher Lesson</w:t>
            </w:r>
          </w:p>
        </w:tc>
        <w:tc>
          <w:tcPr>
            <w:tcW w:w="4590" w:type="dxa"/>
          </w:tcPr>
          <w:p w:rsidR="00C12543" w:rsidRPr="00C12543" w:rsidRDefault="00C12543" w:rsidP="00C12543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Copies of hand outs:</w:t>
            </w:r>
            <w:r>
              <w:rPr>
                <w:rFonts w:ascii="Tw Cen MT" w:hAnsi="Tw Cen MT"/>
                <w:i/>
                <w:sz w:val="24"/>
              </w:rPr>
              <w:t xml:space="preserve"> </w:t>
            </w:r>
          </w:p>
          <w:p w:rsidR="00992DE3" w:rsidRDefault="00373656" w:rsidP="00C12543">
            <w:pPr>
              <w:rPr>
                <w:rFonts w:ascii="Tw Cen MT" w:hAnsi="Tw Cen MT"/>
                <w:i/>
                <w:sz w:val="20"/>
              </w:rPr>
            </w:pPr>
            <w:r w:rsidRPr="00373656">
              <w:rPr>
                <w:rFonts w:ascii="Tw Cen MT" w:hAnsi="Tw Cen MT"/>
                <w:i/>
                <w:sz w:val="20"/>
              </w:rPr>
              <w:t>CE NCRC Test Guide</w:t>
            </w:r>
          </w:p>
          <w:p w:rsidR="00A24F01" w:rsidRPr="00A24F01" w:rsidRDefault="00A24F01" w:rsidP="00C12543">
            <w:pPr>
              <w:rPr>
                <w:rFonts w:ascii="Tw Cen MT" w:hAnsi="Tw Cen MT"/>
                <w:i/>
                <w:sz w:val="20"/>
              </w:rPr>
            </w:pPr>
            <w:r w:rsidRPr="00A24F01">
              <w:rPr>
                <w:rFonts w:ascii="Tw Cen MT" w:hAnsi="Tw Cen MT"/>
                <w:i/>
                <w:sz w:val="20"/>
              </w:rPr>
              <w:t>How to Obtain NCRC Scores</w:t>
            </w:r>
          </w:p>
          <w:p w:rsidR="00A1631C" w:rsidRPr="00A1631C" w:rsidRDefault="00A1631C" w:rsidP="00C12543">
            <w:pPr>
              <w:rPr>
                <w:rFonts w:ascii="Tw Cen MT" w:hAnsi="Tw Cen MT"/>
                <w:i/>
                <w:sz w:val="20"/>
              </w:rPr>
            </w:pPr>
            <w:proofErr w:type="spellStart"/>
            <w:r w:rsidRPr="00A1631C">
              <w:rPr>
                <w:rFonts w:ascii="Tw Cen MT" w:hAnsi="Tw Cen MT"/>
                <w:i/>
              </w:rPr>
              <w:t>Student_NCRCreflectionandscores</w:t>
            </w:r>
            <w:proofErr w:type="spellEnd"/>
          </w:p>
        </w:tc>
        <w:tc>
          <w:tcPr>
            <w:tcW w:w="4158" w:type="dxa"/>
          </w:tcPr>
          <w:p w:rsidR="00C12543" w:rsidRPr="00992DE3" w:rsidRDefault="00C12543" w:rsidP="001809FF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Computer/Internet Access</w:t>
            </w:r>
          </w:p>
          <w:p w:rsidR="00C12543" w:rsidRPr="00E72CC6" w:rsidRDefault="00992DE3" w:rsidP="00C12543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Projector</w:t>
            </w:r>
          </w:p>
        </w:tc>
      </w:tr>
      <w:tr w:rsidR="001809FF" w:rsidTr="00930F2A">
        <w:trPr>
          <w:trHeight w:val="980"/>
        </w:trPr>
        <w:tc>
          <w:tcPr>
            <w:tcW w:w="1838" w:type="dxa"/>
          </w:tcPr>
          <w:p w:rsidR="001809FF" w:rsidRPr="001809FF" w:rsidRDefault="001809FF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Implementation:</w:t>
            </w:r>
          </w:p>
        </w:tc>
        <w:tc>
          <w:tcPr>
            <w:tcW w:w="12778" w:type="dxa"/>
            <w:gridSpan w:val="3"/>
          </w:tcPr>
          <w:p w:rsidR="00992DE3" w:rsidRPr="00992DE3" w:rsidRDefault="0004133B" w:rsidP="00992DE3">
            <w:pPr>
              <w:rPr>
                <w:rFonts w:ascii="Tw Cen MT" w:hAnsi="Tw Cen MT" w:cs="Arial"/>
                <w:b/>
                <w:u w:val="single"/>
              </w:rPr>
            </w:pPr>
            <w:r>
              <w:rPr>
                <w:rFonts w:ascii="Tw Cen MT" w:hAnsi="Tw Cen MT" w:cs="Arial"/>
                <w:b/>
                <w:u w:val="single"/>
              </w:rPr>
              <w:t>Teacher Prep:</w:t>
            </w:r>
          </w:p>
          <w:p w:rsidR="00EB0C96" w:rsidRPr="00EB0C96" w:rsidRDefault="00EB0C96" w:rsidP="00EB0C96">
            <w:pPr>
              <w:spacing w:line="540" w:lineRule="atLeast"/>
              <w:outlineLvl w:val="0"/>
              <w:rPr>
                <w:rFonts w:ascii="Tw Cen MT" w:eastAsia="Times New Roman" w:hAnsi="Tw Cen MT" w:cs="Helvetica"/>
                <w:b/>
                <w:bCs/>
                <w:color w:val="333333"/>
                <w:kern w:val="36"/>
                <w:sz w:val="24"/>
                <w:szCs w:val="24"/>
                <w:lang w:val="en"/>
              </w:rPr>
            </w:pPr>
            <w:r w:rsidRPr="00EB0C96">
              <w:rPr>
                <w:rFonts w:ascii="Tw Cen MT" w:hAnsi="Tw Cen MT"/>
                <w:b/>
                <w:sz w:val="24"/>
                <w:u w:val="single"/>
              </w:rPr>
              <w:t>Introduce</w:t>
            </w:r>
            <w:r w:rsidRPr="00EB0C96">
              <w:rPr>
                <w:rFonts w:ascii="Tw Cen MT" w:hAnsi="Tw Cen MT"/>
                <w:sz w:val="24"/>
              </w:rPr>
              <w:t xml:space="preserve"> </w:t>
            </w:r>
            <w:r>
              <w:rPr>
                <w:rFonts w:ascii="Tw Cen MT" w:hAnsi="Tw Cen MT"/>
                <w:sz w:val="24"/>
              </w:rPr>
              <w:t xml:space="preserve">the NCRC- </w:t>
            </w:r>
            <w:r w:rsidRPr="00EB0C96">
              <w:rPr>
                <w:rFonts w:ascii="Tw Cen MT" w:eastAsia="Times New Roman" w:hAnsi="Tw Cen MT" w:cs="Helvetica"/>
                <w:b/>
                <w:bCs/>
                <w:color w:val="333333"/>
                <w:kern w:val="36"/>
                <w:sz w:val="24"/>
                <w:szCs w:val="24"/>
                <w:lang w:val="en"/>
              </w:rPr>
              <w:t>ACT National Career Readiness Certificate (NCRC)</w:t>
            </w:r>
          </w:p>
          <w:p w:rsidR="00EB0C96" w:rsidRPr="00EB0C96" w:rsidRDefault="00EB0C96" w:rsidP="00EB0C96">
            <w:pPr>
              <w:spacing w:after="135" w:line="270" w:lineRule="atLeast"/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</w:pPr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 xml:space="preserve">ACT's National Career Readiness Certificate (NCRC) is a portable credential that demonstrates achievement and a certain level of workplace employability skills in Applied Mathematics, and Locating Information, and Reading for Information. In the future, ACT Career Credentials powered by ACT </w:t>
            </w:r>
            <w:proofErr w:type="spellStart"/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>WorkKeys</w:t>
            </w:r>
            <w:proofErr w:type="spellEnd"/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 xml:space="preserve"> is an expanding program that will offer certifications in other areas.</w:t>
            </w:r>
          </w:p>
          <w:p w:rsidR="00EB0C96" w:rsidRPr="00EB0C96" w:rsidRDefault="00EB0C96" w:rsidP="00EB0C96">
            <w:pPr>
              <w:spacing w:after="135" w:line="270" w:lineRule="atLeast"/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</w:pPr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 xml:space="preserve">Individuals can earn the NCRC by taking three </w:t>
            </w:r>
            <w:hyperlink r:id="rId8" w:history="1">
              <w:proofErr w:type="spellStart"/>
              <w:r w:rsidRPr="00EB0C96">
                <w:rPr>
                  <w:rFonts w:ascii="Tw Cen MT" w:eastAsia="Times New Roman" w:hAnsi="Tw Cen MT" w:cs="Helvetica"/>
                  <w:color w:val="EE3A43"/>
                  <w:sz w:val="24"/>
                  <w:szCs w:val="24"/>
                  <w:u w:val="single"/>
                  <w:lang w:val="en"/>
                </w:rPr>
                <w:t>WorkKeys</w:t>
              </w:r>
              <w:proofErr w:type="spellEnd"/>
            </w:hyperlink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vertAlign w:val="superscript"/>
                <w:lang w:val="en"/>
              </w:rPr>
              <w:t>®</w:t>
            </w:r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 xml:space="preserve"> assessments:</w:t>
            </w:r>
          </w:p>
          <w:p w:rsidR="00EB0C96" w:rsidRPr="00EB0C96" w:rsidRDefault="00EB0C96" w:rsidP="00EB0C96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ind w:left="375"/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</w:pPr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>Applied Mathematics</w:t>
            </w:r>
          </w:p>
          <w:p w:rsidR="00EB0C96" w:rsidRPr="00EB0C96" w:rsidRDefault="00EB0C96" w:rsidP="00EB0C96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ind w:left="375"/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</w:pPr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>Locating Information</w:t>
            </w:r>
          </w:p>
          <w:p w:rsidR="00EB0C96" w:rsidRPr="00EB0C96" w:rsidRDefault="00EB0C96" w:rsidP="00EB0C96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ind w:left="375"/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</w:pPr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>Reading for Information</w:t>
            </w:r>
          </w:p>
          <w:p w:rsidR="00EB0C96" w:rsidRPr="00EB0C96" w:rsidRDefault="00EB0C96" w:rsidP="00EB0C96">
            <w:pPr>
              <w:spacing w:after="135" w:line="270" w:lineRule="atLeast"/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</w:pPr>
            <w:proofErr w:type="spellStart"/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>WorkKeys</w:t>
            </w:r>
            <w:proofErr w:type="spellEnd"/>
            <w:r w:rsidRPr="00EB0C96">
              <w:rPr>
                <w:rFonts w:ascii="Tw Cen MT" w:eastAsia="Times New Roman" w:hAnsi="Tw Cen MT" w:cs="Helvetica"/>
                <w:color w:val="333333"/>
                <w:sz w:val="24"/>
                <w:szCs w:val="24"/>
                <w:lang w:val="en"/>
              </w:rPr>
              <w:t xml:space="preserve"> assessments measure "real world" skills that employers believe are critical to job success. Test questions are based on situations in the everyday work world.</w:t>
            </w:r>
          </w:p>
          <w:p w:rsidR="00EB0C96" w:rsidRPr="00EB0C96" w:rsidRDefault="00EB0C96" w:rsidP="0004133B">
            <w:pPr>
              <w:numPr>
                <w:ilvl w:val="0"/>
                <w:numId w:val="3"/>
              </w:num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b/>
                <w:sz w:val="24"/>
                <w:u w:val="single"/>
              </w:rPr>
              <w:t>Show</w:t>
            </w:r>
            <w:r>
              <w:rPr>
                <w:rFonts w:ascii="Tw Cen MT" w:hAnsi="Tw Cen MT"/>
                <w:sz w:val="24"/>
              </w:rPr>
              <w:t xml:space="preserve"> the short video </w:t>
            </w:r>
            <w:hyperlink r:id="rId9" w:history="1">
              <w:r w:rsidRPr="00EB0C96">
                <w:rPr>
                  <w:rStyle w:val="Hyperlink"/>
                  <w:rFonts w:ascii="Tw Cen MT" w:hAnsi="Tw Cen MT"/>
                </w:rPr>
                <w:t>http://www.youtube.com/watch?v=DoznUUQM78g</w:t>
              </w:r>
            </w:hyperlink>
            <w:r>
              <w:rPr>
                <w:rStyle w:val="Hyperlink"/>
              </w:rPr>
              <w:t xml:space="preserve"> </w:t>
            </w:r>
          </w:p>
          <w:p w:rsidR="0004133B" w:rsidRPr="00373656" w:rsidRDefault="0004133B" w:rsidP="0004133B">
            <w:pPr>
              <w:numPr>
                <w:ilvl w:val="0"/>
                <w:numId w:val="3"/>
              </w:numPr>
              <w:rPr>
                <w:sz w:val="24"/>
              </w:rPr>
            </w:pPr>
            <w:r w:rsidRPr="00373656">
              <w:rPr>
                <w:rFonts w:ascii="Tw Cen MT" w:hAnsi="Tw Cen MT" w:cs="Arial"/>
                <w:b/>
                <w:sz w:val="24"/>
                <w:u w:val="single"/>
              </w:rPr>
              <w:t xml:space="preserve">Confirm </w:t>
            </w:r>
            <w:r w:rsidRPr="00373656">
              <w:rPr>
                <w:rFonts w:ascii="Tw Cen MT" w:hAnsi="Tw Cen MT" w:cs="Arial"/>
                <w:sz w:val="24"/>
              </w:rPr>
              <w:t xml:space="preserve"> that you were sent a list of students in the system to take the NCRC test</w:t>
            </w:r>
          </w:p>
          <w:p w:rsidR="00373656" w:rsidRDefault="00373656" w:rsidP="00373656">
            <w:pPr>
              <w:pStyle w:val="Default"/>
              <w:numPr>
                <w:ilvl w:val="0"/>
                <w:numId w:val="3"/>
              </w:numPr>
            </w:pPr>
            <w:r>
              <w:t xml:space="preserve">You will need to </w:t>
            </w:r>
            <w:r>
              <w:rPr>
                <w:b/>
                <w:u w:val="single"/>
              </w:rPr>
              <w:t>register</w:t>
            </w:r>
            <w:r>
              <w:t xml:space="preserve"> your students for the tests prior to them logging on.</w:t>
            </w:r>
            <w:r w:rsidR="007505D7">
              <w:t xml:space="preserve"> </w:t>
            </w:r>
            <w:r w:rsidR="007505D7" w:rsidRPr="007505D7">
              <w:rPr>
                <w:rFonts w:cs="MS Shell Dlg"/>
                <w:b/>
                <w:sz w:val="16"/>
                <w:szCs w:val="16"/>
              </w:rPr>
              <w:t xml:space="preserve">NCRC Test Portal – Teacher </w:t>
            </w:r>
            <w:hyperlink r:id="rId10" w:history="1">
              <w:r w:rsidR="007505D7" w:rsidRPr="007505D7">
                <w:rPr>
                  <w:rStyle w:val="Hyperlink"/>
                  <w:rFonts w:cs="MS Shell Dlg"/>
                  <w:b/>
                  <w:sz w:val="16"/>
                  <w:szCs w:val="16"/>
                </w:rPr>
                <w:t>https://vtc.act.org/1036553068</w:t>
              </w:r>
            </w:hyperlink>
          </w:p>
          <w:p w:rsidR="00F23F72" w:rsidRPr="007505D7" w:rsidRDefault="00373656" w:rsidP="00373656">
            <w:pPr>
              <w:pStyle w:val="Default"/>
              <w:numPr>
                <w:ilvl w:val="0"/>
                <w:numId w:val="3"/>
              </w:numPr>
            </w:pPr>
            <w:r>
              <w:t xml:space="preserve">Using the </w:t>
            </w:r>
            <w:r>
              <w:rPr>
                <w:b/>
              </w:rPr>
              <w:t>NCRC Test Guide</w:t>
            </w:r>
            <w:r>
              <w:t xml:space="preserve"> document </w:t>
            </w:r>
            <w:r w:rsidRPr="00373656">
              <w:rPr>
                <w:i/>
                <w:sz w:val="20"/>
              </w:rPr>
              <w:t>(CE NCRC Test Guide)</w:t>
            </w:r>
            <w:r>
              <w:t xml:space="preserve"> go to </w:t>
            </w:r>
            <w:r>
              <w:rPr>
                <w:b/>
                <w:u w:val="single"/>
              </w:rPr>
              <w:t>page 2</w:t>
            </w:r>
            <w:r>
              <w:rPr>
                <w:u w:val="single"/>
              </w:rPr>
              <w:t xml:space="preserve">, </w:t>
            </w:r>
            <w:r>
              <w:rPr>
                <w:b/>
                <w:i/>
              </w:rPr>
              <w:t>Registering Students for a Test.</w:t>
            </w:r>
          </w:p>
          <w:p w:rsidR="007505D7" w:rsidRDefault="007505D7" w:rsidP="00373656">
            <w:pPr>
              <w:pStyle w:val="Default"/>
              <w:numPr>
                <w:ilvl w:val="0"/>
                <w:numId w:val="3"/>
              </w:numPr>
            </w:pPr>
            <w:r>
              <w:t xml:space="preserve">Next, </w:t>
            </w:r>
            <w:r>
              <w:rPr>
                <w:b/>
              </w:rPr>
              <w:t xml:space="preserve">no more than 30 minutes prior to the test, </w:t>
            </w:r>
            <w:r>
              <w:t xml:space="preserve">you will need to go in &amp; </w:t>
            </w:r>
            <w:r>
              <w:rPr>
                <w:b/>
                <w:u w:val="single"/>
              </w:rPr>
              <w:t>authorize</w:t>
            </w:r>
            <w:r>
              <w:t xml:space="preserve"> your students for a test(s).</w:t>
            </w:r>
          </w:p>
          <w:p w:rsidR="007505D7" w:rsidRPr="00B16A61" w:rsidRDefault="007505D7" w:rsidP="00373656">
            <w:pPr>
              <w:pStyle w:val="Default"/>
              <w:numPr>
                <w:ilvl w:val="0"/>
                <w:numId w:val="3"/>
              </w:numPr>
            </w:pPr>
            <w:r>
              <w:t xml:space="preserve">Using the </w:t>
            </w:r>
            <w:r>
              <w:rPr>
                <w:b/>
              </w:rPr>
              <w:t>NCRC Test Guide</w:t>
            </w:r>
            <w:r>
              <w:t xml:space="preserve"> document </w:t>
            </w:r>
            <w:r w:rsidRPr="00373656">
              <w:rPr>
                <w:i/>
                <w:sz w:val="20"/>
              </w:rPr>
              <w:t>(CE NCRC Test Guide)</w:t>
            </w:r>
            <w:r>
              <w:t xml:space="preserve"> go to </w:t>
            </w:r>
            <w:r>
              <w:rPr>
                <w:b/>
                <w:u w:val="single"/>
              </w:rPr>
              <w:t xml:space="preserve">page 4, </w:t>
            </w:r>
            <w:r w:rsidR="00B16A61">
              <w:rPr>
                <w:b/>
                <w:i/>
              </w:rPr>
              <w:t>Authorizing Students for a Test.</w:t>
            </w:r>
          </w:p>
          <w:p w:rsidR="00B16A61" w:rsidRDefault="00A30755" w:rsidP="00373656">
            <w:pPr>
              <w:pStyle w:val="Default"/>
              <w:numPr>
                <w:ilvl w:val="0"/>
                <w:numId w:val="3"/>
              </w:numPr>
            </w:pPr>
            <w:r>
              <w:t xml:space="preserve">Once you have </w:t>
            </w:r>
            <w:r>
              <w:rPr>
                <w:b/>
                <w:i/>
              </w:rPr>
              <w:t>authorized</w:t>
            </w:r>
            <w:r>
              <w:t xml:space="preserve"> them, you can now have the students log in and take the test. </w:t>
            </w:r>
          </w:p>
          <w:p w:rsidR="00F605DB" w:rsidRDefault="00F605DB" w:rsidP="00373656">
            <w:pPr>
              <w:pStyle w:val="Default"/>
              <w:numPr>
                <w:ilvl w:val="0"/>
                <w:numId w:val="3"/>
              </w:numPr>
            </w:pPr>
            <w:r>
              <w:t>Teacher will select the order and there will be 3 days in a row</w:t>
            </w:r>
          </w:p>
          <w:p w:rsidR="00902FA6" w:rsidRDefault="00902FA6" w:rsidP="00373656">
            <w:pPr>
              <w:pStyle w:val="Default"/>
              <w:numPr>
                <w:ilvl w:val="0"/>
                <w:numId w:val="3"/>
              </w:numPr>
            </w:pPr>
            <w:r>
              <w:t>When you are ready to test, students will need to each have their own computer.</w:t>
            </w:r>
          </w:p>
          <w:p w:rsidR="003A5D95" w:rsidRPr="00A1631C" w:rsidRDefault="003A5D95" w:rsidP="00A24F01">
            <w:pPr>
              <w:pStyle w:val="Default"/>
              <w:numPr>
                <w:ilvl w:val="0"/>
                <w:numId w:val="3"/>
              </w:numPr>
            </w:pPr>
            <w:r>
              <w:t>After all three tests have been taken, students will</w:t>
            </w:r>
            <w:r w:rsidR="0070150E">
              <w:t xml:space="preserve"> fol</w:t>
            </w:r>
            <w:r w:rsidR="0093218B">
              <w:t xml:space="preserve">low instructions to collect their NCRC scores </w:t>
            </w:r>
            <w:r w:rsidR="00A24F01">
              <w:t>(</w:t>
            </w:r>
            <w:r w:rsidR="00A24F01" w:rsidRPr="00A24F01">
              <w:rPr>
                <w:b/>
                <w:i/>
                <w:sz w:val="20"/>
              </w:rPr>
              <w:t>How to Obtain NCRC Scores</w:t>
            </w:r>
            <w:r w:rsidR="00A24F01">
              <w:t>)</w:t>
            </w:r>
            <w:r w:rsidR="00A24F01" w:rsidRPr="00A24F01">
              <w:t xml:space="preserve"> </w:t>
            </w:r>
            <w:r w:rsidR="0093218B">
              <w:t xml:space="preserve">and </w:t>
            </w:r>
            <w:r w:rsidR="0093218B">
              <w:rPr>
                <w:b/>
              </w:rPr>
              <w:lastRenderedPageBreak/>
              <w:t>download/save</w:t>
            </w:r>
            <w:r w:rsidR="0093218B">
              <w:t xml:space="preserve"> and </w:t>
            </w:r>
            <w:r w:rsidR="0093218B">
              <w:rPr>
                <w:b/>
                <w:u w:val="single"/>
              </w:rPr>
              <w:t>complete</w:t>
            </w:r>
            <w:r w:rsidR="0093218B">
              <w:t xml:space="preserve"> the document titled </w:t>
            </w:r>
            <w:proofErr w:type="spellStart"/>
            <w:r w:rsidR="0093218B">
              <w:rPr>
                <w:b/>
                <w:i/>
              </w:rPr>
              <w:t>Student_NCRCreflectionandscores</w:t>
            </w:r>
            <w:proofErr w:type="spellEnd"/>
            <w:r w:rsidR="0093218B">
              <w:rPr>
                <w:b/>
                <w:i/>
              </w:rPr>
              <w:t xml:space="preserve">. </w:t>
            </w:r>
          </w:p>
          <w:p w:rsidR="00F605DB" w:rsidRPr="003D7D04" w:rsidRDefault="00A1631C" w:rsidP="00930F2A">
            <w:pPr>
              <w:pStyle w:val="Default"/>
              <w:numPr>
                <w:ilvl w:val="0"/>
                <w:numId w:val="3"/>
              </w:numPr>
            </w:pPr>
            <w:r w:rsidRPr="00F93873">
              <w:t xml:space="preserve">When students have completed their </w:t>
            </w:r>
            <w:proofErr w:type="spellStart"/>
            <w:r>
              <w:rPr>
                <w:b/>
              </w:rPr>
              <w:t>Student_NCRC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reflectionandscores</w:t>
            </w:r>
            <w:proofErr w:type="spellEnd"/>
            <w:r>
              <w:rPr>
                <w:b/>
              </w:rPr>
              <w:t xml:space="preserve">, </w:t>
            </w:r>
            <w:r w:rsidRPr="00F93873">
              <w:t xml:space="preserve">they will need to </w:t>
            </w:r>
            <w:r w:rsidRPr="00F93873">
              <w:rPr>
                <w:b/>
                <w:u w:val="single"/>
              </w:rPr>
              <w:t>UPLOAD</w:t>
            </w:r>
            <w:r w:rsidRPr="00F93873">
              <w:t xml:space="preserve"> it with their name to the class Moodle site.</w:t>
            </w:r>
          </w:p>
        </w:tc>
      </w:tr>
      <w:tr w:rsidR="001809FF" w:rsidTr="00373656">
        <w:trPr>
          <w:trHeight w:val="620"/>
        </w:trPr>
        <w:tc>
          <w:tcPr>
            <w:tcW w:w="1838" w:type="dxa"/>
          </w:tcPr>
          <w:p w:rsidR="001809FF" w:rsidRPr="00F30A95" w:rsidRDefault="00F30A95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lastRenderedPageBreak/>
              <w:t>Additional Resources:</w:t>
            </w:r>
          </w:p>
        </w:tc>
        <w:tc>
          <w:tcPr>
            <w:tcW w:w="12778" w:type="dxa"/>
            <w:gridSpan w:val="3"/>
          </w:tcPr>
          <w:p w:rsidR="00E561A0" w:rsidRPr="00373656" w:rsidRDefault="0004133B" w:rsidP="0004133B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Style w:val="Hyperlink"/>
                <w:rFonts w:ascii="Tw Cen MT" w:hAnsi="Tw Cen MT"/>
                <w:color w:val="auto"/>
                <w:sz w:val="20"/>
                <w:szCs w:val="20"/>
                <w:u w:val="none"/>
              </w:rPr>
            </w:pPr>
            <w:r w:rsidRPr="00373656">
              <w:rPr>
                <w:rFonts w:ascii="Tw Cen MT" w:hAnsi="Tw Cen MT" w:cs="MS Shell Dlg"/>
                <w:color w:val="000000"/>
                <w:sz w:val="16"/>
                <w:szCs w:val="16"/>
              </w:rPr>
              <w:t xml:space="preserve">NCRC Test Portal – Student </w:t>
            </w:r>
            <w:hyperlink r:id="rId11" w:history="1">
              <w:r w:rsidRPr="00373656">
                <w:rPr>
                  <w:rStyle w:val="Hyperlink"/>
                  <w:rFonts w:ascii="Tw Cen MT" w:hAnsi="Tw Cen MT" w:cs="MS Shell Dlg"/>
                  <w:sz w:val="16"/>
                  <w:szCs w:val="16"/>
                </w:rPr>
                <w:t>https://rsp.act.org/1036553068</w:t>
              </w:r>
            </w:hyperlink>
          </w:p>
          <w:p w:rsidR="00373656" w:rsidRPr="00E561A0" w:rsidRDefault="00373656" w:rsidP="0004133B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sz w:val="20"/>
                <w:szCs w:val="20"/>
              </w:rPr>
            </w:pPr>
            <w:r w:rsidRPr="00373656">
              <w:rPr>
                <w:rFonts w:ascii="Tw Cen MT" w:hAnsi="Tw Cen MT" w:cs="MS Shell Dlg"/>
                <w:color w:val="000000"/>
                <w:sz w:val="16"/>
                <w:szCs w:val="16"/>
              </w:rPr>
              <w:t xml:space="preserve">NCRC Test Portal – Teacher </w:t>
            </w:r>
            <w:hyperlink r:id="rId12" w:history="1">
              <w:r w:rsidRPr="00373656">
                <w:rPr>
                  <w:rStyle w:val="Hyperlink"/>
                  <w:rFonts w:ascii="Tw Cen MT" w:hAnsi="Tw Cen MT" w:cs="MS Shell Dlg"/>
                  <w:sz w:val="16"/>
                  <w:szCs w:val="16"/>
                </w:rPr>
                <w:t>https://vtc.act.org/1036553068</w:t>
              </w:r>
            </w:hyperlink>
          </w:p>
        </w:tc>
      </w:tr>
    </w:tbl>
    <w:p w:rsidR="00FE49C7" w:rsidRPr="002A5343" w:rsidRDefault="00FE49C7" w:rsidP="00E11087">
      <w:pPr>
        <w:rPr>
          <w:rFonts w:ascii="Tw Cen MT" w:hAnsi="Tw Cen MT"/>
          <w:b/>
          <w:sz w:val="28"/>
        </w:rPr>
      </w:pPr>
    </w:p>
    <w:sectPr w:rsidR="00FE49C7" w:rsidRPr="002A5343" w:rsidSect="00301A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D2D"/>
    <w:multiLevelType w:val="hybridMultilevel"/>
    <w:tmpl w:val="5B30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83F51"/>
    <w:multiLevelType w:val="multilevel"/>
    <w:tmpl w:val="9D42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A9236E"/>
    <w:multiLevelType w:val="hybridMultilevel"/>
    <w:tmpl w:val="9080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A6DE1"/>
    <w:multiLevelType w:val="hybridMultilevel"/>
    <w:tmpl w:val="2EC23E00"/>
    <w:lvl w:ilvl="0" w:tplc="A516D7B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FF5BF9"/>
    <w:multiLevelType w:val="hybridMultilevel"/>
    <w:tmpl w:val="27D0A926"/>
    <w:lvl w:ilvl="0" w:tplc="5502ABA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3F1F33"/>
    <w:multiLevelType w:val="hybridMultilevel"/>
    <w:tmpl w:val="0602BF94"/>
    <w:lvl w:ilvl="0" w:tplc="C6902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0796F"/>
    <w:multiLevelType w:val="hybridMultilevel"/>
    <w:tmpl w:val="3DE018D8"/>
    <w:lvl w:ilvl="0" w:tplc="E174A6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F5BB4"/>
    <w:multiLevelType w:val="hybridMultilevel"/>
    <w:tmpl w:val="706E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90"/>
    <w:rsid w:val="00026BC3"/>
    <w:rsid w:val="0004133B"/>
    <w:rsid w:val="00070789"/>
    <w:rsid w:val="000E144A"/>
    <w:rsid w:val="001809FF"/>
    <w:rsid w:val="0018400C"/>
    <w:rsid w:val="00192A18"/>
    <w:rsid w:val="001C47DC"/>
    <w:rsid w:val="001D7E0D"/>
    <w:rsid w:val="001E4E54"/>
    <w:rsid w:val="001F733D"/>
    <w:rsid w:val="00207457"/>
    <w:rsid w:val="00237C73"/>
    <w:rsid w:val="002526CA"/>
    <w:rsid w:val="00256091"/>
    <w:rsid w:val="00262E3D"/>
    <w:rsid w:val="002A5343"/>
    <w:rsid w:val="00301AA3"/>
    <w:rsid w:val="00315CC9"/>
    <w:rsid w:val="00351BF6"/>
    <w:rsid w:val="00361904"/>
    <w:rsid w:val="00373656"/>
    <w:rsid w:val="003A5D95"/>
    <w:rsid w:val="003D7D04"/>
    <w:rsid w:val="004A0B91"/>
    <w:rsid w:val="004D70B0"/>
    <w:rsid w:val="004D753A"/>
    <w:rsid w:val="00522334"/>
    <w:rsid w:val="006733FD"/>
    <w:rsid w:val="0070150E"/>
    <w:rsid w:val="007505D7"/>
    <w:rsid w:val="007A2AFB"/>
    <w:rsid w:val="007C7ED4"/>
    <w:rsid w:val="00846244"/>
    <w:rsid w:val="0085054C"/>
    <w:rsid w:val="00865CAC"/>
    <w:rsid w:val="008E5449"/>
    <w:rsid w:val="008F5833"/>
    <w:rsid w:val="00902FA6"/>
    <w:rsid w:val="00913B9E"/>
    <w:rsid w:val="00930F2A"/>
    <w:rsid w:val="0093218B"/>
    <w:rsid w:val="00950A92"/>
    <w:rsid w:val="00953BE3"/>
    <w:rsid w:val="0098755A"/>
    <w:rsid w:val="00987BFC"/>
    <w:rsid w:val="00992DE3"/>
    <w:rsid w:val="009D0B06"/>
    <w:rsid w:val="009D34EB"/>
    <w:rsid w:val="009F0BC1"/>
    <w:rsid w:val="00A1631C"/>
    <w:rsid w:val="00A24F01"/>
    <w:rsid w:val="00A26AA5"/>
    <w:rsid w:val="00A30755"/>
    <w:rsid w:val="00A54275"/>
    <w:rsid w:val="00A57582"/>
    <w:rsid w:val="00A844B6"/>
    <w:rsid w:val="00AA042D"/>
    <w:rsid w:val="00B062C8"/>
    <w:rsid w:val="00B16A61"/>
    <w:rsid w:val="00BE13EC"/>
    <w:rsid w:val="00C01610"/>
    <w:rsid w:val="00C12543"/>
    <w:rsid w:val="00C22336"/>
    <w:rsid w:val="00C37717"/>
    <w:rsid w:val="00C47F1C"/>
    <w:rsid w:val="00D7139D"/>
    <w:rsid w:val="00E11087"/>
    <w:rsid w:val="00E20DCE"/>
    <w:rsid w:val="00E561A0"/>
    <w:rsid w:val="00E72CC6"/>
    <w:rsid w:val="00E81FAC"/>
    <w:rsid w:val="00EB0C96"/>
    <w:rsid w:val="00EC2390"/>
    <w:rsid w:val="00EC6F80"/>
    <w:rsid w:val="00F158BF"/>
    <w:rsid w:val="00F23F72"/>
    <w:rsid w:val="00F30A95"/>
    <w:rsid w:val="00F4478A"/>
    <w:rsid w:val="00F605DB"/>
    <w:rsid w:val="00F844EA"/>
    <w:rsid w:val="00F93873"/>
    <w:rsid w:val="00FA48BB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5DB"/>
    <w:pPr>
      <w:spacing w:after="0" w:line="540" w:lineRule="atLeast"/>
      <w:outlineLvl w:val="0"/>
    </w:pPr>
    <w:rPr>
      <w:rFonts w:ascii="inherit" w:eastAsia="Times New Roman" w:hAnsi="inherit" w:cs="Times New Roman"/>
      <w:b/>
      <w:bCs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D34E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5DB"/>
    <w:rPr>
      <w:rFonts w:ascii="inherit" w:eastAsia="Times New Roman" w:hAnsi="inherit" w:cs="Times New Roman"/>
      <w:b/>
      <w:bCs/>
      <w:kern w:val="36"/>
      <w:sz w:val="45"/>
      <w:szCs w:val="45"/>
    </w:rPr>
  </w:style>
  <w:style w:type="paragraph" w:styleId="NormalWeb">
    <w:name w:val="Normal (Web)"/>
    <w:basedOn w:val="Normal"/>
    <w:uiPriority w:val="99"/>
    <w:semiHidden/>
    <w:unhideWhenUsed/>
    <w:rsid w:val="00F605D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5DB"/>
    <w:pPr>
      <w:spacing w:after="0" w:line="540" w:lineRule="atLeast"/>
      <w:outlineLvl w:val="0"/>
    </w:pPr>
    <w:rPr>
      <w:rFonts w:ascii="inherit" w:eastAsia="Times New Roman" w:hAnsi="inherit" w:cs="Times New Roman"/>
      <w:b/>
      <w:bCs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D34E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5DB"/>
    <w:rPr>
      <w:rFonts w:ascii="inherit" w:eastAsia="Times New Roman" w:hAnsi="inherit" w:cs="Times New Roman"/>
      <w:b/>
      <w:bCs/>
      <w:kern w:val="36"/>
      <w:sz w:val="45"/>
      <w:szCs w:val="45"/>
    </w:rPr>
  </w:style>
  <w:style w:type="paragraph" w:styleId="NormalWeb">
    <w:name w:val="Normal (Web)"/>
    <w:basedOn w:val="Normal"/>
    <w:uiPriority w:val="99"/>
    <w:semiHidden/>
    <w:unhideWhenUsed/>
    <w:rsid w:val="00F605D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20316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org/products/workforce-act-workkey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tc.act.org/1036553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p.act.org/10365530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tc.act.org/10365530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DoznUUQM7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DD3B-B7E7-42D0-91F6-F3BFA91E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Pewitt, Sarah</dc:creator>
  <cp:lastModifiedBy>Pewitt, Sarah</cp:lastModifiedBy>
  <cp:revision>19</cp:revision>
  <dcterms:created xsi:type="dcterms:W3CDTF">2013-06-24T17:07:00Z</dcterms:created>
  <dcterms:modified xsi:type="dcterms:W3CDTF">2013-07-05T21:48:00Z</dcterms:modified>
</cp:coreProperties>
</file>