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EB" w:rsidRDefault="006652EB" w:rsidP="006652EB">
      <w:pPr>
        <w:rPr>
          <w:rFonts w:ascii="Times New Roman" w:hAnsi="Times New Roman"/>
        </w:rPr>
      </w:pPr>
      <w:r>
        <w:t xml:space="preserve">Strategic Target: </w:t>
      </w:r>
      <w:r>
        <w:rPr>
          <w:rFonts w:ascii="Times New Roman" w:hAnsi="Times New Roman"/>
        </w:rPr>
        <w:t>5.1a</w:t>
      </w:r>
      <w:r>
        <w:t>                                                                                           10/11/2013</w:t>
      </w:r>
    </w:p>
    <w:p w:rsidR="006652EB" w:rsidRDefault="006652EB" w:rsidP="006652EB">
      <w:r>
        <w:t xml:space="preserve">Subject:  STEM Instructional Framework                                                              STEM Leadership Team </w:t>
      </w:r>
    </w:p>
    <w:p w:rsidR="006652EB" w:rsidRDefault="006652EB" w:rsidP="006652EB"/>
    <w:p w:rsidR="006652EB" w:rsidRDefault="006652EB" w:rsidP="006652EB">
      <w:pPr>
        <w:rPr>
          <w:color w:val="000000"/>
        </w:rPr>
      </w:pPr>
      <w:r>
        <w:rPr>
          <w:color w:val="000000"/>
        </w:rPr>
        <w:t xml:space="preserve">During </w:t>
      </w:r>
      <w:proofErr w:type="gramStart"/>
      <w:r>
        <w:rPr>
          <w:color w:val="000000"/>
        </w:rPr>
        <w:t>the  STEM</w:t>
      </w:r>
      <w:proofErr w:type="gramEnd"/>
      <w:r>
        <w:rPr>
          <w:color w:val="000000"/>
        </w:rPr>
        <w:t xml:space="preserve"> Leadership Network workshop in August, teachers addressed the question, “What is quality STEM learning?”. Participants analyzed several STEM classroom videos and identified attributes that they believe constitutes quality STEM education. The characteristics include learning that: </w:t>
      </w:r>
    </w:p>
    <w:p w:rsidR="006652EB" w:rsidRDefault="006652EB" w:rsidP="006652EB">
      <w:pPr>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r>
        <w:rPr>
          <w:rFonts w:ascii="Helvetica Neue" w:hAnsi="Helvetica Neue"/>
          <w:color w:val="000000"/>
        </w:rPr>
        <w:t>integrates knowledge and skills from Science, Technology, Engineering, and Mathematics</w:t>
      </w:r>
    </w:p>
    <w:p w:rsidR="006652EB" w:rsidRDefault="006652EB" w:rsidP="006652EB">
      <w:pPr>
        <w:pStyle w:val="ListParagraph"/>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proofErr w:type="gramStart"/>
      <w:r>
        <w:rPr>
          <w:rFonts w:ascii="Helvetica Neue" w:hAnsi="Helvetica Neue"/>
          <w:color w:val="000000"/>
        </w:rPr>
        <w:t>focuses</w:t>
      </w:r>
      <w:proofErr w:type="gramEnd"/>
      <w:r>
        <w:rPr>
          <w:rFonts w:ascii="Helvetica Neue" w:hAnsi="Helvetica Neue"/>
          <w:color w:val="000000"/>
        </w:rPr>
        <w:t xml:space="preserve"> on helping students acquire deep understanding of a “big idea” or “foundational skill” critical to their future learning </w:t>
      </w:r>
    </w:p>
    <w:p w:rsidR="006652EB" w:rsidRDefault="006652EB" w:rsidP="006652EB">
      <w:pPr>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r>
        <w:rPr>
          <w:rFonts w:ascii="Helvetica Neue" w:hAnsi="Helvetica Neue"/>
          <w:color w:val="000000"/>
        </w:rPr>
        <w:t>requires higher-order thinking skills with a real STEM work environment</w:t>
      </w:r>
    </w:p>
    <w:p w:rsidR="006652EB" w:rsidRDefault="006652EB" w:rsidP="006652EB">
      <w:pPr>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r>
        <w:rPr>
          <w:rFonts w:ascii="Helvetica Neue" w:hAnsi="Helvetica Neue"/>
          <w:color w:val="000000"/>
        </w:rPr>
        <w:t>defines expectations for individual and team accountability</w:t>
      </w:r>
    </w:p>
    <w:p w:rsidR="006652EB" w:rsidRDefault="006652EB" w:rsidP="006652EB">
      <w:pPr>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r>
        <w:rPr>
          <w:rFonts w:ascii="Helvetica Neue" w:hAnsi="Helvetica Neue"/>
        </w:rPr>
        <w:t>in</w:t>
      </w:r>
      <w:r>
        <w:rPr>
          <w:rFonts w:ascii="Helvetica Neue" w:hAnsi="Helvetica Neue"/>
          <w:color w:val="000000"/>
        </w:rPr>
        <w:t>cludes an assessment plan with one or more rubric-based, performance assessments</w:t>
      </w:r>
    </w:p>
    <w:p w:rsidR="006652EB" w:rsidRDefault="006652EB" w:rsidP="006652EB">
      <w:pPr>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r>
        <w:rPr>
          <w:rFonts w:ascii="Helvetica Neue" w:hAnsi="Helvetica Neue"/>
          <w:color w:val="000000"/>
        </w:rPr>
        <w:t>requires students to demonstrate thinking skills in employing all steps in the engineering design process</w:t>
      </w:r>
    </w:p>
    <w:p w:rsidR="006652EB" w:rsidRDefault="006652EB" w:rsidP="006652EB">
      <w:pPr>
        <w:rPr>
          <w:color w:val="000000"/>
        </w:rPr>
      </w:pPr>
      <w:r>
        <w:rPr>
          <w:color w:val="000000"/>
        </w:rPr>
        <w:t> </w:t>
      </w:r>
    </w:p>
    <w:p w:rsidR="006652EB" w:rsidRDefault="006652EB" w:rsidP="006652EB">
      <w:pPr>
        <w:pStyle w:val="ListParagraph"/>
        <w:ind w:hanging="360"/>
        <w:rPr>
          <w:color w:val="000000"/>
        </w:rPr>
      </w:pPr>
      <w:r>
        <w:rPr>
          <w:rFonts w:ascii="Symbol" w:hAnsi="Symbol"/>
          <w:color w:val="000000"/>
        </w:rPr>
        <w:t></w:t>
      </w:r>
      <w:r>
        <w:rPr>
          <w:rFonts w:ascii="Times New Roman" w:hAnsi="Times New Roman"/>
          <w:color w:val="000000"/>
          <w:sz w:val="14"/>
          <w:szCs w:val="14"/>
        </w:rPr>
        <w:t xml:space="preserve">        </w:t>
      </w:r>
      <w:r>
        <w:rPr>
          <w:rFonts w:ascii="Helvetica Neue" w:hAnsi="Helvetica Neue"/>
          <w:color w:val="000000"/>
        </w:rPr>
        <w:t xml:space="preserve">employs </w:t>
      </w:r>
      <w:r>
        <w:rPr>
          <w:rFonts w:ascii="Helvetica Neue" w:hAnsi="Helvetica Neue"/>
          <w:i/>
          <w:iCs/>
          <w:color w:val="000000"/>
        </w:rPr>
        <w:t xml:space="preserve">multiple </w:t>
      </w:r>
      <w:r>
        <w:rPr>
          <w:rFonts w:ascii="Helvetica Neue" w:hAnsi="Helvetica Neue"/>
          <w:color w:val="000000"/>
        </w:rPr>
        <w:t xml:space="preserve">technology tools and resources to </w:t>
      </w:r>
      <w:r>
        <w:rPr>
          <w:rFonts w:ascii="Helvetica Neue" w:hAnsi="Helvetica Neue"/>
          <w:i/>
          <w:iCs/>
          <w:color w:val="000000"/>
        </w:rPr>
        <w:t>enhance student capacity</w:t>
      </w:r>
    </w:p>
    <w:p w:rsidR="006652EB" w:rsidRDefault="006652EB" w:rsidP="006652EB">
      <w:pPr>
        <w:rPr>
          <w:color w:val="000000"/>
        </w:rPr>
      </w:pPr>
      <w:r>
        <w:rPr>
          <w:color w:val="000000"/>
        </w:rPr>
        <w:t> </w:t>
      </w:r>
    </w:p>
    <w:p w:rsidR="006652EB" w:rsidRDefault="006652EB" w:rsidP="006652EB">
      <w:pPr>
        <w:rPr>
          <w:sz w:val="22"/>
          <w:szCs w:val="22"/>
        </w:rPr>
      </w:pPr>
      <w:r>
        <w:rPr>
          <w:color w:val="000000"/>
        </w:rPr>
        <w:t>When the STEM Leadership Network meets in December, participants will make an Everett STEM Instructional Framework using the identified characteristics. This tool will be similar in function to the Charlotte Danielson Instruction Framework used by the Teacher Principal Evaluation Project (TPEP).</w:t>
      </w:r>
    </w:p>
    <w:p w:rsidR="00C447D3" w:rsidRDefault="00C447D3">
      <w:bookmarkStart w:id="0" w:name="_GoBack"/>
      <w:bookmarkEnd w:id="0"/>
    </w:p>
    <w:sectPr w:rsidR="00C4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EB"/>
    <w:rsid w:val="006652EB"/>
    <w:rsid w:val="00C4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EB"/>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E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EB"/>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1308</Characters>
  <Application>Microsoft Office Word</Application>
  <DocSecurity>0</DocSecurity>
  <Lines>10</Lines>
  <Paragraphs>3</Paragraphs>
  <ScaleCrop>false</ScaleCrop>
  <Company>Everett Public Schools</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1</cp:revision>
  <dcterms:created xsi:type="dcterms:W3CDTF">2013-10-10T16:33:00Z</dcterms:created>
  <dcterms:modified xsi:type="dcterms:W3CDTF">2013-10-10T16:35:00Z</dcterms:modified>
</cp:coreProperties>
</file>