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CF9" w:rsidRDefault="008B5CF9"/>
    <w:p w:rsidR="008B5CF9" w:rsidRDefault="00F03F33">
      <w:pPr>
        <w:jc w:val="center"/>
      </w:pPr>
      <w:r>
        <w:rPr>
          <w:rFonts w:ascii="PT Sans" w:eastAsia="PT Sans" w:hAnsi="PT Sans" w:cs="PT Sans"/>
          <w:b/>
          <w:sz w:val="36"/>
          <w:szCs w:val="36"/>
        </w:rPr>
        <w:t>Everett Public Schools</w:t>
      </w:r>
    </w:p>
    <w:p w:rsidR="008B5CF9" w:rsidRDefault="00F03F33">
      <w:pPr>
        <w:jc w:val="center"/>
      </w:pPr>
      <w:r>
        <w:rPr>
          <w:rFonts w:ascii="PT Sans" w:eastAsia="PT Sans" w:hAnsi="PT Sans" w:cs="PT Sans"/>
          <w:b/>
          <w:sz w:val="36"/>
          <w:szCs w:val="36"/>
        </w:rPr>
        <w:t>Deeper Learning - Communication Toolkit</w:t>
      </w:r>
    </w:p>
    <w:p w:rsidR="008B5CF9" w:rsidRDefault="008B5CF9">
      <w:pPr>
        <w:jc w:val="center"/>
      </w:pPr>
    </w:p>
    <w:p w:rsidR="008B5CF9" w:rsidRDefault="008B5CF9"/>
    <w:p w:rsidR="008B5CF9" w:rsidRDefault="008B5CF9"/>
    <w:p w:rsidR="008B5CF9" w:rsidRDefault="008B5CF9"/>
    <w:p w:rsidR="008B5CF9" w:rsidRDefault="008B5CF9"/>
    <w:p w:rsidR="008B5CF9" w:rsidRDefault="00F03F33">
      <w:pPr>
        <w:jc w:val="center"/>
      </w:pPr>
      <w:r>
        <w:rPr>
          <w:rFonts w:ascii="PT Sans" w:eastAsia="PT Sans" w:hAnsi="PT Sans" w:cs="PT Sans"/>
          <w:sz w:val="28"/>
          <w:szCs w:val="28"/>
        </w:rPr>
        <w:t xml:space="preserve">“Common interests, collaborative efforts, and capacity building all require </w:t>
      </w:r>
    </w:p>
    <w:p w:rsidR="008B5CF9" w:rsidRDefault="00F03F33">
      <w:pPr>
        <w:jc w:val="center"/>
      </w:pPr>
      <w:r>
        <w:rPr>
          <w:rFonts w:ascii="PT Sans" w:eastAsia="PT Sans" w:hAnsi="PT Sans" w:cs="PT Sans"/>
          <w:sz w:val="28"/>
          <w:szCs w:val="28"/>
        </w:rPr>
        <w:t>effective communication between and among a school’s educators.”</w:t>
      </w:r>
    </w:p>
    <w:p w:rsidR="008B5CF9" w:rsidRDefault="00F03F33">
      <w:pPr>
        <w:jc w:val="right"/>
      </w:pPr>
      <w:r>
        <w:rPr>
          <w:rFonts w:ascii="PT Sans" w:eastAsia="PT Sans" w:hAnsi="PT Sans" w:cs="PT Sans"/>
          <w:sz w:val="20"/>
          <w:szCs w:val="20"/>
        </w:rPr>
        <w:t xml:space="preserve">Les </w:t>
      </w:r>
      <w:proofErr w:type="spellStart"/>
      <w:r>
        <w:rPr>
          <w:rFonts w:ascii="PT Sans" w:eastAsia="PT Sans" w:hAnsi="PT Sans" w:cs="PT Sans"/>
          <w:sz w:val="20"/>
          <w:szCs w:val="20"/>
        </w:rPr>
        <w:t>Foltos</w:t>
      </w:r>
      <w:proofErr w:type="spellEnd"/>
      <w:r>
        <w:rPr>
          <w:rFonts w:ascii="PT Sans" w:eastAsia="PT Sans" w:hAnsi="PT Sans" w:cs="PT Sans"/>
          <w:sz w:val="20"/>
          <w:szCs w:val="20"/>
        </w:rPr>
        <w:t>, 2013, pg. 68</w:t>
      </w:r>
    </w:p>
    <w:p w:rsidR="008B5CF9" w:rsidRDefault="00F03F33">
      <w:pPr>
        <w:jc w:val="right"/>
      </w:pPr>
      <w:r>
        <w:rPr>
          <w:rFonts w:ascii="PT Sans" w:eastAsia="PT Sans" w:hAnsi="PT Sans" w:cs="PT Sans"/>
          <w:i/>
          <w:sz w:val="20"/>
          <w:szCs w:val="20"/>
        </w:rPr>
        <w:t>Peer Coaching - Unlocking the Power of Collaboration</w:t>
      </w:r>
    </w:p>
    <w:p w:rsidR="008B5CF9" w:rsidRDefault="008B5CF9">
      <w:pPr>
        <w:jc w:val="right"/>
      </w:pPr>
    </w:p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F03F33">
      <w:r>
        <w:rPr>
          <w:rFonts w:ascii="PT Sans" w:eastAsia="PT Sans" w:hAnsi="PT Sans" w:cs="PT Sans"/>
        </w:rPr>
        <w:t>The purpose of this toolkit is to provide instructional and peer coaches the opportunity to strengthen their communication skills to build positive relationships and trust with mentees.  It is sug</w:t>
      </w:r>
      <w:r>
        <w:rPr>
          <w:rFonts w:ascii="PT Sans" w:eastAsia="PT Sans" w:hAnsi="PT Sans" w:cs="PT Sans"/>
        </w:rPr>
        <w:t>gested that coaches engage in all toolkit activities to practice all aspects of communication with peers.</w:t>
      </w:r>
    </w:p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F03F33">
      <w:r>
        <w:rPr>
          <w:rFonts w:ascii="PT Sans" w:eastAsia="PT Sans" w:hAnsi="PT Sans" w:cs="PT Sans"/>
          <w:u w:val="single"/>
        </w:rPr>
        <w:t>Table of Contents:</w:t>
      </w:r>
    </w:p>
    <w:p w:rsidR="008B5CF9" w:rsidRDefault="008B5CF9"/>
    <w:p w:rsidR="008B5CF9" w:rsidRDefault="00F03F33">
      <w:r>
        <w:rPr>
          <w:rFonts w:ascii="PT Sans" w:eastAsia="PT Sans" w:hAnsi="PT Sans" w:cs="PT Sans"/>
        </w:rPr>
        <w:t>Explore Communication Skills: Activities for Paraphrasing and Asking Questions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  <w:t>pp. 2-3</w:t>
      </w:r>
    </w:p>
    <w:p w:rsidR="008B5CF9" w:rsidRDefault="00F03F33">
      <w:r>
        <w:rPr>
          <w:rFonts w:ascii="PT Sans" w:eastAsia="PT Sans" w:hAnsi="PT Sans" w:cs="PT Sans"/>
        </w:rPr>
        <w:t>Opening the Door to a Coaching Conversation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  <w:t>pp. 4-5</w:t>
      </w:r>
    </w:p>
    <w:p w:rsidR="008B5CF9" w:rsidRDefault="00F03F33">
      <w:r>
        <w:rPr>
          <w:rFonts w:ascii="PT Sans" w:eastAsia="PT Sans" w:hAnsi="PT Sans" w:cs="PT Sans"/>
        </w:rPr>
        <w:t>Learnin</w:t>
      </w:r>
      <w:r w:rsidR="00FB7C50">
        <w:rPr>
          <w:rFonts w:ascii="PT Sans" w:eastAsia="PT Sans" w:hAnsi="PT Sans" w:cs="PT Sans"/>
        </w:rPr>
        <w:t>g-Focused Verbal Tools</w:t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 w:rsidR="00FB7C50"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>p. 6</w:t>
      </w:r>
    </w:p>
    <w:p w:rsidR="008B5CF9" w:rsidRDefault="00F03F33">
      <w:r>
        <w:rPr>
          <w:rFonts w:ascii="PT Sans" w:eastAsia="PT Sans" w:hAnsi="PT Sans" w:cs="PT Sans"/>
        </w:rPr>
        <w:t>Communication Skills: Self and/or Peer Assessment</w:t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  <w:t>pp. 7</w:t>
      </w:r>
      <w:r>
        <w:br w:type="page"/>
      </w:r>
    </w:p>
    <w:p w:rsidR="008B5CF9" w:rsidRDefault="008B5CF9"/>
    <w:p w:rsidR="008B5CF9" w:rsidRDefault="00F03F33">
      <w:pPr>
        <w:pStyle w:val="Heading2"/>
        <w:spacing w:before="0" w:after="0"/>
        <w:jc w:val="center"/>
      </w:pPr>
      <w:r>
        <w:rPr>
          <w:rFonts w:ascii="PT Sans" w:eastAsia="PT Sans" w:hAnsi="PT Sans" w:cs="PT Sans"/>
          <w:color w:val="281F18"/>
        </w:rPr>
        <w:t>Explore Communication Skills</w:t>
      </w:r>
    </w:p>
    <w:p w:rsidR="008B5CF9" w:rsidRDefault="00F03F33">
      <w:pPr>
        <w:pStyle w:val="Heading2"/>
        <w:spacing w:before="0" w:after="0"/>
        <w:jc w:val="center"/>
      </w:pPr>
      <w:r>
        <w:rPr>
          <w:rFonts w:ascii="PT Sans" w:eastAsia="PT Sans" w:hAnsi="PT Sans" w:cs="PT Sans"/>
          <w:i/>
          <w:color w:val="281F18"/>
          <w:sz w:val="28"/>
          <w:szCs w:val="28"/>
        </w:rPr>
        <w:t>Activities for Paraphrasing and Asking Questions</w:t>
      </w:r>
    </w:p>
    <w:p w:rsidR="008B5CF9" w:rsidRDefault="00F03F33">
      <w:pPr>
        <w:pStyle w:val="Heading2"/>
        <w:spacing w:before="0" w:after="120"/>
      </w:pPr>
      <w:r>
        <w:rPr>
          <w:rFonts w:ascii="PT Sans" w:eastAsia="PT Sans" w:hAnsi="PT Sans" w:cs="PT Sans"/>
          <w:color w:val="281F18"/>
          <w:sz w:val="32"/>
          <w:szCs w:val="32"/>
        </w:rPr>
        <w:t>Introductio</w:t>
      </w:r>
      <w:r>
        <w:rPr>
          <w:rFonts w:ascii="PT Sans" w:eastAsia="PT Sans" w:hAnsi="PT Sans" w:cs="PT Sans"/>
          <w:color w:val="281F18"/>
          <w:sz w:val="32"/>
          <w:szCs w:val="32"/>
        </w:rPr>
        <w:t>n</w:t>
      </w:r>
    </w:p>
    <w:p w:rsidR="008B5CF9" w:rsidRDefault="00F03F33">
      <w:pPr>
        <w:spacing w:after="240"/>
      </w:pPr>
      <w:r>
        <w:rPr>
          <w:rFonts w:ascii="PT Sans" w:eastAsia="PT Sans" w:hAnsi="PT Sans" w:cs="PT Sans"/>
          <w:i/>
          <w:color w:val="281F18"/>
          <w:sz w:val="21"/>
          <w:szCs w:val="21"/>
        </w:rPr>
        <w:t>What do coaches need to know and be able to do to support teachers’ needs? How can you use communication skills to build relationships and trust?</w:t>
      </w:r>
    </w:p>
    <w:p w:rsidR="008B5CF9" w:rsidRDefault="00F03F33">
      <w:pPr>
        <w:pStyle w:val="Heading2"/>
        <w:spacing w:before="0" w:after="120"/>
      </w:pPr>
      <w:r>
        <w:rPr>
          <w:rFonts w:ascii="PT Sans" w:eastAsia="PT Sans" w:hAnsi="PT Sans" w:cs="PT Sans"/>
          <w:color w:val="281F18"/>
          <w:sz w:val="32"/>
          <w:szCs w:val="32"/>
        </w:rPr>
        <w:t>Getting Started</w:t>
      </w:r>
    </w:p>
    <w:p w:rsidR="008B5CF9" w:rsidRDefault="00F03F33">
      <w:pPr>
        <w:spacing w:after="240"/>
      </w:pPr>
      <w:r>
        <w:rPr>
          <w:rFonts w:ascii="PT Sans" w:eastAsia="PT Sans" w:hAnsi="PT Sans" w:cs="PT Sans"/>
          <w:color w:val="281F18"/>
          <w:sz w:val="21"/>
          <w:szCs w:val="21"/>
        </w:rPr>
        <w:t>As a coach, you will:</w:t>
      </w:r>
    </w:p>
    <w:p w:rsidR="008B5CF9" w:rsidRDefault="00F03F33">
      <w:pPr>
        <w:numPr>
          <w:ilvl w:val="0"/>
          <w:numId w:val="8"/>
        </w:numPr>
        <w:ind w:left="480" w:right="240" w:hanging="360"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Use communication skills to focus on student learning.</w:t>
      </w:r>
    </w:p>
    <w:p w:rsidR="008B5CF9" w:rsidRDefault="00F03F33">
      <w:pPr>
        <w:numPr>
          <w:ilvl w:val="0"/>
          <w:numId w:val="8"/>
        </w:numPr>
        <w:ind w:left="480" w:right="240" w:hanging="360"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Build relationships and trust.</w:t>
      </w:r>
    </w:p>
    <w:p w:rsidR="008B5CF9" w:rsidRDefault="008B5CF9">
      <w:pPr>
        <w:ind w:left="480" w:right="240"/>
      </w:pPr>
    </w:p>
    <w:p w:rsidR="008B5CF9" w:rsidRDefault="00F03F33">
      <w:pPr>
        <w:pStyle w:val="Heading3"/>
        <w:spacing w:before="0" w:after="120"/>
      </w:pPr>
      <w:r>
        <w:rPr>
          <w:rFonts w:ascii="PT Sans" w:eastAsia="PT Sans" w:hAnsi="PT Sans" w:cs="PT Sans"/>
          <w:color w:val="281F18"/>
          <w:sz w:val="26"/>
          <w:szCs w:val="26"/>
        </w:rPr>
        <w:t>Part A: L</w:t>
      </w:r>
      <w:r>
        <w:rPr>
          <w:rFonts w:ascii="PT Sans" w:eastAsia="PT Sans" w:hAnsi="PT Sans" w:cs="PT Sans"/>
          <w:color w:val="281F18"/>
          <w:sz w:val="26"/>
          <w:szCs w:val="26"/>
        </w:rPr>
        <w:t>istening &amp; Paraphrasing</w:t>
      </w:r>
    </w:p>
    <w:p w:rsidR="008B5CF9" w:rsidRDefault="00F03F33">
      <w:pPr>
        <w:spacing w:after="240"/>
      </w:pPr>
      <w:r>
        <w:rPr>
          <w:rFonts w:ascii="PT Sans" w:eastAsia="PT Sans" w:hAnsi="PT Sans" w:cs="PT Sans"/>
          <w:color w:val="281F18"/>
          <w:sz w:val="21"/>
          <w:szCs w:val="21"/>
        </w:rPr>
        <w:t>Communication skills help coaches earn trust and inspire collaborating teachers to think more deeply about using available and emerging technologies. You will learn and practice communication</w:t>
      </w:r>
      <w:r>
        <w:rPr>
          <w:rFonts w:ascii="PT Sans" w:eastAsia="PT Sans" w:hAnsi="PT Sans" w:cs="PT Sans"/>
          <w:color w:val="281F18"/>
          <w:sz w:val="21"/>
          <w:szCs w:val="21"/>
        </w:rPr>
        <w:t xml:space="preserve"> skills in this activity. </w:t>
      </w:r>
      <w:r>
        <w:rPr>
          <w:rFonts w:ascii="PT Sans" w:eastAsia="PT Sans" w:hAnsi="PT Sans" w:cs="PT Sans"/>
          <w:color w:val="281F18"/>
          <w:sz w:val="21"/>
          <w:szCs w:val="21"/>
        </w:rPr>
        <w:br/>
        <w:t>Review the </w:t>
      </w:r>
      <w:hyperlink r:id="rId7">
        <w:r>
          <w:rPr>
            <w:rFonts w:ascii="PT Sans" w:eastAsia="PT Sans" w:hAnsi="PT Sans" w:cs="PT Sans"/>
            <w:color w:val="428AB5"/>
            <w:sz w:val="21"/>
            <w:szCs w:val="21"/>
            <w:u w:val="single"/>
          </w:rPr>
          <w:t>Coaching Skills Cue Card</w:t>
        </w:r>
      </w:hyperlink>
      <w:r>
        <w:rPr>
          <w:rFonts w:ascii="PT Sans" w:eastAsia="PT Sans" w:hAnsi="PT Sans" w:cs="PT Sans"/>
          <w:color w:val="281F18"/>
          <w:sz w:val="21"/>
          <w:szCs w:val="21"/>
        </w:rPr>
        <w:t>.</w:t>
      </w:r>
    </w:p>
    <w:p w:rsidR="008B5CF9" w:rsidRDefault="00F03F33">
      <w:pPr>
        <w:numPr>
          <w:ilvl w:val="0"/>
          <w:numId w:val="11"/>
        </w:numPr>
        <w:ind w:left="540"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Let’s focus on listening and paraphrasing skills first.</w:t>
      </w:r>
      <w:r>
        <w:rPr>
          <w:rFonts w:ascii="PT Sans" w:eastAsia="PT Sans" w:hAnsi="PT Sans" w:cs="PT Sans"/>
          <w:color w:val="281F18"/>
          <w:sz w:val="21"/>
          <w:szCs w:val="21"/>
        </w:rPr>
        <w:t xml:space="preserve"> Review the key features.</w:t>
      </w:r>
    </w:p>
    <w:p w:rsidR="008B5CF9" w:rsidRDefault="00F03F33">
      <w:pPr>
        <w:numPr>
          <w:ilvl w:val="0"/>
          <w:numId w:val="11"/>
        </w:numPr>
        <w:ind w:left="540"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Complete the Just Listen Activity below to deepen your own listening and paraphrasing skills.</w:t>
      </w:r>
    </w:p>
    <w:p w:rsidR="008B5CF9" w:rsidRDefault="008B5CF9">
      <w:pPr>
        <w:ind w:left="480" w:right="240"/>
      </w:pPr>
    </w:p>
    <w:p w:rsidR="008B5CF9" w:rsidRDefault="00F03F33">
      <w:pPr>
        <w:pStyle w:val="Heading3"/>
        <w:spacing w:before="0" w:after="120"/>
      </w:pPr>
      <w:r>
        <w:rPr>
          <w:rFonts w:ascii="PT Sans" w:eastAsia="PT Sans" w:hAnsi="PT Sans" w:cs="PT Sans"/>
          <w:color w:val="281F18"/>
          <w:sz w:val="26"/>
          <w:szCs w:val="26"/>
        </w:rPr>
        <w:t>Just Listen Activity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Split into A/B partners.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be the speaker, talking for one minute about how technology is currently used in your work setting.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B will be the listener, fully listening without interruption for one minute.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At the end of one minute, person B will paraphrase what th</w:t>
      </w:r>
      <w:r>
        <w:rPr>
          <w:rFonts w:ascii="PT Sans" w:eastAsia="PT Sans" w:hAnsi="PT Sans" w:cs="PT Sans"/>
          <w:color w:val="281F18"/>
          <w:sz w:val="21"/>
          <w:szCs w:val="21"/>
        </w:rPr>
        <w:t>e speaker said.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give feedback to person B as to the accuracy of the paraphrase.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Reverse the roles and repeat the process.</w:t>
      </w:r>
    </w:p>
    <w:p w:rsidR="008B5CF9" w:rsidRDefault="00F03F33">
      <w:pPr>
        <w:numPr>
          <w:ilvl w:val="0"/>
          <w:numId w:val="14"/>
        </w:numPr>
        <w:ind w:left="480" w:right="240" w:hanging="360"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Debrief:</w:t>
      </w:r>
    </w:p>
    <w:p w:rsidR="008B5CF9" w:rsidRDefault="00F03F33">
      <w:pPr>
        <w:numPr>
          <w:ilvl w:val="1"/>
          <w:numId w:val="14"/>
        </w:numPr>
        <w:ind w:left="960" w:right="480" w:hanging="360"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How did this activity help or hinder your ability to listen?</w:t>
      </w:r>
    </w:p>
    <w:p w:rsidR="008B5CF9" w:rsidRDefault="00F03F33">
      <w:pPr>
        <w:numPr>
          <w:ilvl w:val="1"/>
          <w:numId w:val="14"/>
        </w:numPr>
        <w:ind w:left="960" w:right="480" w:hanging="360"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How many of you had the urge to ask questions? Why?</w:t>
      </w:r>
    </w:p>
    <w:p w:rsidR="008B5CF9" w:rsidRDefault="008B5CF9">
      <w:pPr>
        <w:ind w:left="960" w:right="480"/>
      </w:pPr>
    </w:p>
    <w:p w:rsidR="008B5CF9" w:rsidRDefault="00F03F33">
      <w:pPr>
        <w:pStyle w:val="Heading3"/>
        <w:spacing w:before="0" w:after="120"/>
      </w:pPr>
      <w:r>
        <w:rPr>
          <w:rFonts w:ascii="PT Sans" w:eastAsia="PT Sans" w:hAnsi="PT Sans" w:cs="PT Sans"/>
          <w:color w:val="281F18"/>
          <w:sz w:val="26"/>
          <w:szCs w:val="26"/>
        </w:rPr>
        <w:t>Part B: Paraphrasing, Clarifying Questions, &amp; Probing Questions</w:t>
      </w:r>
    </w:p>
    <w:p w:rsidR="008B5CF9" w:rsidRDefault="00F03F33">
      <w:pPr>
        <w:spacing w:after="240"/>
      </w:pPr>
      <w:r>
        <w:rPr>
          <w:rFonts w:ascii="PT Sans" w:eastAsia="PT Sans" w:hAnsi="PT Sans" w:cs="PT Sans"/>
          <w:color w:val="281F18"/>
          <w:sz w:val="21"/>
          <w:szCs w:val="21"/>
        </w:rPr>
        <w:t>Communication skills help coaches earn trust and inspire collaborating teachers to think more deeply about using available and emerging tec</w:t>
      </w:r>
      <w:r>
        <w:rPr>
          <w:rFonts w:ascii="PT Sans" w:eastAsia="PT Sans" w:hAnsi="PT Sans" w:cs="PT Sans"/>
          <w:color w:val="281F18"/>
          <w:sz w:val="21"/>
          <w:szCs w:val="21"/>
        </w:rPr>
        <w:t>hnologies. You will learn and practice communication skills in this activity. </w:t>
      </w:r>
      <w:r>
        <w:rPr>
          <w:rFonts w:ascii="PT Sans" w:eastAsia="PT Sans" w:hAnsi="PT Sans" w:cs="PT Sans"/>
          <w:color w:val="281F18"/>
          <w:sz w:val="21"/>
          <w:szCs w:val="21"/>
        </w:rPr>
        <w:br/>
        <w:t>Review the </w:t>
      </w:r>
      <w:hyperlink r:id="rId8">
        <w:r>
          <w:rPr>
            <w:rFonts w:ascii="PT Sans" w:eastAsia="PT Sans" w:hAnsi="PT Sans" w:cs="PT Sans"/>
            <w:color w:val="428AB5"/>
            <w:sz w:val="21"/>
            <w:szCs w:val="21"/>
            <w:u w:val="single"/>
          </w:rPr>
          <w:t>Coaching Skills Cue Card</w:t>
        </w:r>
      </w:hyperlink>
      <w:r>
        <w:rPr>
          <w:rFonts w:ascii="PT Sans" w:eastAsia="PT Sans" w:hAnsi="PT Sans" w:cs="PT Sans"/>
          <w:color w:val="281F18"/>
          <w:sz w:val="21"/>
          <w:szCs w:val="21"/>
        </w:rPr>
        <w:t>.</w:t>
      </w:r>
    </w:p>
    <w:p w:rsidR="008B5CF9" w:rsidRDefault="00F03F33">
      <w:pPr>
        <w:numPr>
          <w:ilvl w:val="0"/>
          <w:numId w:val="9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Rev</w:t>
      </w:r>
      <w:r>
        <w:rPr>
          <w:rFonts w:ascii="PT Sans" w:eastAsia="PT Sans" w:hAnsi="PT Sans" w:cs="PT Sans"/>
          <w:color w:val="281F18"/>
          <w:sz w:val="21"/>
          <w:szCs w:val="21"/>
        </w:rPr>
        <w:t>iew the remaining communication skills on the </w:t>
      </w:r>
      <w:r>
        <w:rPr>
          <w:rFonts w:ascii="PT Sans" w:eastAsia="PT Sans" w:hAnsi="PT Sans" w:cs="PT Sans"/>
          <w:i/>
          <w:color w:val="281F18"/>
          <w:sz w:val="21"/>
          <w:szCs w:val="21"/>
        </w:rPr>
        <w:t>Coaching Skills Cue Card</w:t>
      </w:r>
      <w:r>
        <w:rPr>
          <w:rFonts w:ascii="PT Sans" w:eastAsia="PT Sans" w:hAnsi="PT Sans" w:cs="PT Sans"/>
          <w:color w:val="281F18"/>
          <w:sz w:val="21"/>
          <w:szCs w:val="21"/>
        </w:rPr>
        <w:t>, focusing on clarifying and probing questions.</w:t>
      </w:r>
    </w:p>
    <w:p w:rsidR="008B5CF9" w:rsidRDefault="00F03F33">
      <w:pPr>
        <w:numPr>
          <w:ilvl w:val="0"/>
          <w:numId w:val="9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Complete the Paraphrasing and Questioning Activity below to deepen your own paraphrasing and questioning skills.</w:t>
      </w:r>
    </w:p>
    <w:p w:rsidR="008B5CF9" w:rsidRDefault="008B5CF9">
      <w:pPr>
        <w:ind w:left="480" w:right="240"/>
      </w:pPr>
    </w:p>
    <w:p w:rsidR="008B5CF9" w:rsidRDefault="00F03F33">
      <w:pPr>
        <w:pStyle w:val="Heading3"/>
        <w:spacing w:before="0" w:after="120"/>
      </w:pPr>
      <w:bookmarkStart w:id="0" w:name="h.vw51bug2875w" w:colFirst="0" w:colLast="0"/>
      <w:bookmarkEnd w:id="0"/>
      <w:r>
        <w:rPr>
          <w:rFonts w:ascii="PT Sans" w:eastAsia="PT Sans" w:hAnsi="PT Sans" w:cs="PT Sans"/>
          <w:color w:val="281F18"/>
          <w:sz w:val="26"/>
          <w:szCs w:val="26"/>
        </w:rPr>
        <w:t>Paraphrasing and Questio</w:t>
      </w:r>
      <w:r>
        <w:rPr>
          <w:rFonts w:ascii="PT Sans" w:eastAsia="PT Sans" w:hAnsi="PT Sans" w:cs="PT Sans"/>
          <w:color w:val="281F18"/>
          <w:sz w:val="26"/>
          <w:szCs w:val="26"/>
        </w:rPr>
        <w:t>ning Activity</w:t>
      </w:r>
    </w:p>
    <w:p w:rsidR="008B5CF9" w:rsidRDefault="00F03F33">
      <w:pPr>
        <w:pStyle w:val="Heading3"/>
        <w:numPr>
          <w:ilvl w:val="0"/>
          <w:numId w:val="6"/>
        </w:numPr>
        <w:spacing w:before="0" w:after="0"/>
        <w:ind w:hanging="360"/>
        <w:rPr>
          <w:rFonts w:ascii="PT Sans" w:eastAsia="PT Sans" w:hAnsi="PT Sans" w:cs="PT Sans"/>
          <w:b w:val="0"/>
          <w:color w:val="281F18"/>
          <w:sz w:val="21"/>
          <w:szCs w:val="21"/>
        </w:rPr>
      </w:pPr>
      <w:bookmarkStart w:id="1" w:name="h.g9lc8toyiw1o" w:colFirst="0" w:colLast="0"/>
      <w:bookmarkEnd w:id="1"/>
      <w:r>
        <w:rPr>
          <w:rFonts w:ascii="PT Sans" w:eastAsia="PT Sans" w:hAnsi="PT Sans" w:cs="PT Sans"/>
          <w:b w:val="0"/>
          <w:color w:val="281F18"/>
          <w:sz w:val="21"/>
          <w:szCs w:val="21"/>
        </w:rPr>
        <w:t>Split into A/B/C partners.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be the speaker, talking for three minutes about a problem of practice that you want to try to solve (i.e. an aspect of a lesson plan, student engagement, use of technology)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B/C will be the listeners, fully listening without interruption for three minutes.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At the end of three minutes, Person B will paraphrase what the speaker said.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give feedback to Person B as to the accuracy of the paraphrase.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C wi</w:t>
      </w:r>
      <w:r>
        <w:rPr>
          <w:rFonts w:ascii="PT Sans" w:eastAsia="PT Sans" w:hAnsi="PT Sans" w:cs="PT Sans"/>
          <w:color w:val="281F18"/>
          <w:sz w:val="21"/>
          <w:szCs w:val="21"/>
        </w:rPr>
        <w:t xml:space="preserve">ll ask clarifying questions. 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answer these questions.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B &amp; C will ask probing questions.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Person A will answer these questions.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Reverse the roles.  Repeat the process 3 times, so that group member has the opportunity to be the speaker, paraphraser, clarifying questioner, and that all have time to practice crafting and asking probing questions.</w:t>
      </w:r>
    </w:p>
    <w:p w:rsidR="008B5CF9" w:rsidRDefault="00F03F33">
      <w:pPr>
        <w:numPr>
          <w:ilvl w:val="0"/>
          <w:numId w:val="6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Debrief:</w:t>
      </w:r>
    </w:p>
    <w:p w:rsidR="008B5CF9" w:rsidRDefault="00F03F33">
      <w:pPr>
        <w:numPr>
          <w:ilvl w:val="1"/>
          <w:numId w:val="14"/>
        </w:numPr>
        <w:ind w:left="960" w:right="480" w:hanging="360"/>
        <w:contextualSpacing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How did this activity help or</w:t>
      </w:r>
      <w:r>
        <w:rPr>
          <w:rFonts w:ascii="PT Sans" w:eastAsia="PT Sans" w:hAnsi="PT Sans" w:cs="PT Sans"/>
          <w:color w:val="281F18"/>
          <w:sz w:val="21"/>
          <w:szCs w:val="21"/>
        </w:rPr>
        <w:t xml:space="preserve"> hinder your ability to listen, paraphrase and ask clarifying or probing questions?</w:t>
      </w:r>
    </w:p>
    <w:p w:rsidR="008B5CF9" w:rsidRDefault="008B5CF9"/>
    <w:p w:rsidR="008B5CF9" w:rsidRDefault="008B5CF9"/>
    <w:p w:rsidR="008B5CF9" w:rsidRDefault="008B5CF9"/>
    <w:p w:rsidR="008B5CF9" w:rsidRDefault="008B5CF9"/>
    <w:p w:rsidR="008B5CF9" w:rsidRDefault="008B5CF9">
      <w:pPr>
        <w:jc w:val="right"/>
      </w:pPr>
    </w:p>
    <w:p w:rsidR="008B5CF9" w:rsidRDefault="00F03F33">
      <w:pPr>
        <w:ind w:left="720"/>
      </w:pPr>
      <w:r>
        <w:rPr>
          <w:rFonts w:ascii="Georgia" w:eastAsia="Georgia" w:hAnsi="Georgia" w:cs="Georgia"/>
        </w:rPr>
        <w:t>Coaching Skills Cue Cards</w:t>
      </w:r>
    </w:p>
    <w:tbl>
      <w:tblPr>
        <w:tblStyle w:val="a"/>
        <w:tblW w:w="10800" w:type="dxa"/>
        <w:tblInd w:w="83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18" w:space="0" w:color="003366"/>
          <w:insideV w:val="single" w:sz="18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8B5CF9">
        <w:tc>
          <w:tcPr>
            <w:tcW w:w="10800" w:type="dxa"/>
            <w:gridSpan w:val="2"/>
            <w:shd w:val="clear" w:color="auto" w:fill="E7EFFF"/>
          </w:tcPr>
          <w:p w:rsidR="008B5CF9" w:rsidRDefault="00F03F3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Active Listening</w:t>
            </w:r>
          </w:p>
          <w:p w:rsidR="008B5CF9" w:rsidRDefault="00F03F33"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Is focused on the speaker. </w:t>
            </w:r>
          </w:p>
          <w:p w:rsidR="008B5CF9" w:rsidRDefault="00F03F33">
            <w:r>
              <w:rPr>
                <w:rFonts w:ascii="Arial" w:eastAsia="Arial" w:hAnsi="Arial" w:cs="Arial"/>
                <w:sz w:val="20"/>
                <w:szCs w:val="20"/>
              </w:rPr>
              <w:tab/>
              <w:t>Is blocking out all competing thoughts.</w:t>
            </w:r>
          </w:p>
          <w:p w:rsidR="008B5CF9" w:rsidRDefault="00F03F33"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Is leaning forward and nodding.</w:t>
            </w:r>
          </w:p>
          <w:p w:rsidR="008B5CF9" w:rsidRDefault="008B5CF9"/>
        </w:tc>
      </w:tr>
      <w:tr w:rsidR="008B5CF9">
        <w:trPr>
          <w:trHeight w:val="1720"/>
        </w:trPr>
        <w:tc>
          <w:tcPr>
            <w:tcW w:w="5580" w:type="dxa"/>
            <w:shd w:val="clear" w:color="auto" w:fill="E7EFFF"/>
          </w:tcPr>
          <w:p w:rsidR="008B5CF9" w:rsidRDefault="00F03F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Paraphrasing</w:t>
            </w:r>
          </w:p>
          <w:p w:rsidR="008B5CF9" w:rsidRDefault="00F03F33"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Is restating what was stated.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used to check for understanding. 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>Clarifies what was heard by summarizing.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Indicates acceptance and encouragement. 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>Establishes relationship between speakers.</w:t>
            </w:r>
          </w:p>
          <w:p w:rsidR="008B5CF9" w:rsidRDefault="008B5CF9">
            <w:pPr>
              <w:ind w:firstLine="720"/>
            </w:pPr>
          </w:p>
        </w:tc>
        <w:tc>
          <w:tcPr>
            <w:tcW w:w="5220" w:type="dxa"/>
            <w:shd w:val="clear" w:color="auto" w:fill="E7EFFF"/>
          </w:tcPr>
          <w:p w:rsidR="008B5CF9" w:rsidRDefault="00F03F33">
            <w:pPr>
              <w:numPr>
                <w:ilvl w:val="0"/>
                <w:numId w:val="3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So . . .  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</w:p>
          <w:p w:rsidR="008B5CF9" w:rsidRDefault="00F03F33">
            <w:pPr>
              <w:numPr>
                <w:ilvl w:val="0"/>
                <w:numId w:val="3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So what you are wondering is . . .</w:t>
            </w:r>
          </w:p>
          <w:p w:rsidR="008B5CF9" w:rsidRDefault="00F03F33">
            <w:pPr>
              <w:numPr>
                <w:ilvl w:val="0"/>
                <w:numId w:val="3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As you . . 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</w:p>
          <w:p w:rsidR="008B5CF9" w:rsidRDefault="00F03F33">
            <w:pPr>
              <w:numPr>
                <w:ilvl w:val="0"/>
                <w:numId w:val="3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So your hunch is . . . </w:t>
            </w:r>
          </w:p>
          <w:p w:rsidR="008B5CF9" w:rsidRDefault="00F03F33">
            <w:pPr>
              <w:numPr>
                <w:ilvl w:val="0"/>
                <w:numId w:val="3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You’re thinking . . . </w:t>
            </w:r>
          </w:p>
          <w:p w:rsidR="008B5CF9" w:rsidRDefault="008B5CF9">
            <w:pPr>
              <w:tabs>
                <w:tab w:val="left" w:pos="991"/>
              </w:tabs>
            </w:pPr>
          </w:p>
        </w:tc>
      </w:tr>
      <w:tr w:rsidR="008B5CF9">
        <w:trPr>
          <w:trHeight w:val="1620"/>
        </w:trPr>
        <w:tc>
          <w:tcPr>
            <w:tcW w:w="5580" w:type="dxa"/>
            <w:shd w:val="clear" w:color="auto" w:fill="E7EFFF"/>
          </w:tcPr>
          <w:p w:rsidR="008B5CF9" w:rsidRDefault="00F03F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Clarifying Questions</w:t>
            </w:r>
          </w:p>
          <w:p w:rsidR="008B5CF9" w:rsidRDefault="00F03F33">
            <w:pPr>
              <w:ind w:left="720"/>
            </w:pPr>
            <w:r>
              <w:rPr>
                <w:rFonts w:ascii="Arial" w:eastAsia="Arial" w:hAnsi="Arial" w:cs="Arial"/>
                <w:sz w:val="20"/>
                <w:szCs w:val="20"/>
              </w:rPr>
              <w:t>Lead to a clear picture or understanding of a topic or idea.</w:t>
            </w:r>
          </w:p>
          <w:p w:rsidR="008B5CF9" w:rsidRDefault="00F03F33">
            <w:pPr>
              <w:ind w:left="720"/>
            </w:pPr>
            <w:r>
              <w:rPr>
                <w:rFonts w:ascii="Arial" w:eastAsia="Arial" w:hAnsi="Arial" w:cs="Arial"/>
                <w:sz w:val="20"/>
                <w:szCs w:val="20"/>
              </w:rPr>
              <w:t>Are factual.</w:t>
            </w:r>
          </w:p>
          <w:p w:rsidR="008B5CF9" w:rsidRDefault="00F03F33">
            <w:pPr>
              <w:ind w:left="720"/>
            </w:pPr>
            <w:r>
              <w:rPr>
                <w:rFonts w:ascii="Arial" w:eastAsia="Arial" w:hAnsi="Arial" w:cs="Arial"/>
                <w:sz w:val="20"/>
                <w:szCs w:val="20"/>
              </w:rPr>
              <w:t>Are answered quickly.</w:t>
            </w:r>
          </w:p>
          <w:p w:rsidR="008B5CF9" w:rsidRDefault="00F03F33">
            <w:pPr>
              <w:ind w:left="720"/>
            </w:pPr>
            <w:r>
              <w:rPr>
                <w:rFonts w:ascii="Arial" w:eastAsia="Arial" w:hAnsi="Arial" w:cs="Arial"/>
                <w:sz w:val="20"/>
                <w:szCs w:val="20"/>
              </w:rPr>
              <w:t>Are used to gather information.</w:t>
            </w:r>
          </w:p>
        </w:tc>
        <w:tc>
          <w:tcPr>
            <w:tcW w:w="5220" w:type="dxa"/>
            <w:shd w:val="clear" w:color="auto" w:fill="E7EFFF"/>
          </w:tcPr>
          <w:p w:rsidR="008B5CF9" w:rsidRDefault="008B5CF9"/>
          <w:p w:rsidR="008B5CF9" w:rsidRDefault="00F03F3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How did you . . .?</w:t>
            </w:r>
          </w:p>
          <w:p w:rsidR="008B5CF9" w:rsidRDefault="00F03F33">
            <w:pPr>
              <w:numPr>
                <w:ilvl w:val="0"/>
                <w:numId w:val="5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. . . ?</w:t>
            </w:r>
            <w:proofErr w:type="gramEnd"/>
          </w:p>
          <w:p w:rsidR="008B5CF9" w:rsidRDefault="00F03F33">
            <w:pPr>
              <w:numPr>
                <w:ilvl w:val="0"/>
                <w:numId w:val="5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How did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. . . ?</w:t>
            </w:r>
            <w:proofErr w:type="gramEnd"/>
          </w:p>
          <w:p w:rsidR="008B5CF9" w:rsidRDefault="008B5CF9"/>
        </w:tc>
      </w:tr>
      <w:tr w:rsidR="008B5CF9">
        <w:trPr>
          <w:trHeight w:val="1360"/>
        </w:trPr>
        <w:tc>
          <w:tcPr>
            <w:tcW w:w="5580" w:type="dxa"/>
            <w:shd w:val="clear" w:color="auto" w:fill="E7EFFF"/>
          </w:tcPr>
          <w:p w:rsidR="008B5CF9" w:rsidRDefault="00F03F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Probing Questions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thought provoking and encourage deeper 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>thinking.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>Usually start with a paraphrase.</w:t>
            </w:r>
          </w:p>
          <w:p w:rsidR="008B5CF9" w:rsidRDefault="00F03F33">
            <w:r>
              <w:rPr>
                <w:rFonts w:ascii="Arial" w:eastAsia="Arial" w:hAnsi="Arial" w:cs="Arial"/>
                <w:sz w:val="20"/>
                <w:szCs w:val="20"/>
              </w:rPr>
              <w:tab/>
              <w:t>Are often open-ended.</w:t>
            </w:r>
          </w:p>
          <w:p w:rsidR="008B5CF9" w:rsidRDefault="00F03F33">
            <w:pPr>
              <w:ind w:firstLine="720"/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5220" w:type="dxa"/>
            <w:shd w:val="clear" w:color="auto" w:fill="E7EFFF"/>
          </w:tcPr>
          <w:p w:rsidR="008B5CF9" w:rsidRDefault="00F03F33">
            <w:pPr>
              <w:numPr>
                <w:ilvl w:val="0"/>
                <w:numId w:val="7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You said . . ., have you ever thought about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. . . ?</w:t>
            </w:r>
            <w:proofErr w:type="gramEnd"/>
          </w:p>
          <w:p w:rsidR="008B5CF9" w:rsidRDefault="00F03F33">
            <w:pPr>
              <w:numPr>
                <w:ilvl w:val="0"/>
                <w:numId w:val="7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Why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. . . ?</w:t>
            </w:r>
            <w:proofErr w:type="gramEnd"/>
          </w:p>
          <w:p w:rsidR="008B5CF9" w:rsidRDefault="00F03F33">
            <w:pPr>
              <w:numPr>
                <w:ilvl w:val="0"/>
                <w:numId w:val="7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What might the next step be?</w:t>
            </w:r>
          </w:p>
          <w:p w:rsidR="008B5CF9" w:rsidRDefault="00F03F33">
            <w:pPr>
              <w:numPr>
                <w:ilvl w:val="0"/>
                <w:numId w:val="7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What did you learn from that?</w:t>
            </w:r>
          </w:p>
          <w:p w:rsidR="008B5CF9" w:rsidRDefault="00F03F33">
            <w:pPr>
              <w:numPr>
                <w:ilvl w:val="0"/>
                <w:numId w:val="7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Are there other strategies that you could use to . . .?</w:t>
            </w:r>
          </w:p>
        </w:tc>
      </w:tr>
    </w:tbl>
    <w:p w:rsidR="008B5CF9" w:rsidRDefault="008B5CF9"/>
    <w:p w:rsidR="008B5CF9" w:rsidRDefault="008B5CF9"/>
    <w:p w:rsidR="008B5CF9" w:rsidRDefault="008B5CF9"/>
    <w:p w:rsidR="008B5CF9" w:rsidRDefault="008B5CF9"/>
    <w:p w:rsidR="008B5CF9" w:rsidRDefault="00F03F33">
      <w:pPr>
        <w:jc w:val="right"/>
      </w:pPr>
      <w:r>
        <w:rPr>
          <w:i/>
          <w:sz w:val="20"/>
          <w:szCs w:val="20"/>
        </w:rPr>
        <w:t>Peer-Ed’s Peer Coaching V4.5</w:t>
      </w:r>
    </w:p>
    <w:p w:rsidR="008B5CF9" w:rsidRDefault="008B5CF9" w:rsidP="00FB7C50"/>
    <w:p w:rsidR="008B5CF9" w:rsidRDefault="00F03F33">
      <w:pPr>
        <w:jc w:val="center"/>
      </w:pPr>
      <w:r>
        <w:rPr>
          <w:rFonts w:ascii="PT Sans" w:eastAsia="PT Sans" w:hAnsi="PT Sans" w:cs="PT Sans"/>
          <w:b/>
          <w:sz w:val="28"/>
          <w:szCs w:val="28"/>
        </w:rPr>
        <w:t>Opening the Door to a Coaching Conversation</w:t>
      </w:r>
    </w:p>
    <w:p w:rsidR="008B5CF9" w:rsidRDefault="00F03F33">
      <w:pPr>
        <w:jc w:val="center"/>
      </w:pPr>
      <w:r>
        <w:rPr>
          <w:rFonts w:ascii="PT Sans" w:eastAsia="PT Sans" w:hAnsi="PT Sans" w:cs="PT Sans"/>
          <w:i/>
          <w:sz w:val="20"/>
          <w:szCs w:val="20"/>
        </w:rPr>
        <w:t>*Adapted from the OSPI Mentoring Academy Winter 2015</w:t>
      </w:r>
    </w:p>
    <w:p w:rsidR="008B5CF9" w:rsidRDefault="008B5CF9">
      <w:pPr>
        <w:jc w:val="center"/>
      </w:pPr>
    </w:p>
    <w:p w:rsidR="008B5CF9" w:rsidRDefault="00F03F33">
      <w:pPr>
        <w:jc w:val="center"/>
      </w:pPr>
      <w:r>
        <w:rPr>
          <w:rFonts w:ascii="PT Sans" w:eastAsia="PT Sans" w:hAnsi="PT Sans" w:cs="PT Sans"/>
          <w:sz w:val="20"/>
          <w:szCs w:val="20"/>
        </w:rPr>
        <w:t>“You’re (emotion) because (</w:t>
      </w:r>
      <w:r>
        <w:rPr>
          <w:rFonts w:ascii="PT Sans" w:eastAsia="PT Sans" w:hAnsi="PT Sans" w:cs="PT Sans"/>
          <w:sz w:val="20"/>
          <w:szCs w:val="20"/>
          <w:u w:val="single"/>
        </w:rPr>
        <w:t>content</w:t>
      </w:r>
      <w:r>
        <w:rPr>
          <w:rFonts w:ascii="PT Sans" w:eastAsia="PT Sans" w:hAnsi="PT Sans" w:cs="PT Sans"/>
          <w:sz w:val="20"/>
          <w:szCs w:val="20"/>
        </w:rPr>
        <w:t>),</w:t>
      </w:r>
    </w:p>
    <w:p w:rsidR="008B5CF9" w:rsidRDefault="00F03F33">
      <w:pPr>
        <w:jc w:val="center"/>
      </w:pPr>
      <w:r>
        <w:rPr>
          <w:rFonts w:ascii="PT Sans" w:eastAsia="PT Sans" w:hAnsi="PT Sans" w:cs="PT Sans"/>
          <w:sz w:val="20"/>
          <w:szCs w:val="20"/>
        </w:rPr>
        <w:t>and what you want is to (</w:t>
      </w:r>
      <w:r>
        <w:rPr>
          <w:rFonts w:ascii="Nova Mono" w:eastAsia="Nova Mono" w:hAnsi="Nova Mono" w:cs="Nova Mono"/>
          <w:sz w:val="20"/>
          <w:szCs w:val="20"/>
          <w:u w:val="single"/>
        </w:rPr>
        <w:t>be/have/do → goal</w:t>
      </w:r>
      <w:r>
        <w:rPr>
          <w:rFonts w:ascii="PT Sans" w:eastAsia="PT Sans" w:hAnsi="PT Sans" w:cs="PT Sans"/>
          <w:sz w:val="20"/>
          <w:szCs w:val="20"/>
        </w:rPr>
        <w:t xml:space="preserve">) - </w:t>
      </w:r>
    </w:p>
    <w:p w:rsidR="008B5CF9" w:rsidRDefault="00F03F33">
      <w:pPr>
        <w:jc w:val="center"/>
      </w:pPr>
      <w:r>
        <w:rPr>
          <w:rFonts w:ascii="PT Sans" w:eastAsia="PT Sans" w:hAnsi="PT Sans" w:cs="PT Sans"/>
          <w:sz w:val="20"/>
          <w:szCs w:val="20"/>
        </w:rPr>
        <w:t>and you’re searching for ways to make that happen.”</w:t>
      </w:r>
    </w:p>
    <w:p w:rsidR="008B5CF9" w:rsidRDefault="008B5CF9">
      <w:pPr>
        <w:jc w:val="center"/>
      </w:pPr>
    </w:p>
    <w:p w:rsidR="008B5CF9" w:rsidRDefault="00F03F33">
      <w:pPr>
        <w:pStyle w:val="Heading2"/>
        <w:spacing w:before="0" w:after="120"/>
      </w:pPr>
      <w:r>
        <w:rPr>
          <w:rFonts w:ascii="PT Sans" w:eastAsia="PT Sans" w:hAnsi="PT Sans" w:cs="PT Sans"/>
          <w:color w:val="281F18"/>
          <w:sz w:val="32"/>
          <w:szCs w:val="32"/>
        </w:rPr>
        <w:t>Introduction</w:t>
      </w:r>
    </w:p>
    <w:p w:rsidR="008B5CF9" w:rsidRDefault="00F03F33">
      <w:pPr>
        <w:spacing w:after="240"/>
      </w:pPr>
      <w:r>
        <w:rPr>
          <w:rFonts w:ascii="PT Sans" w:eastAsia="PT Sans" w:hAnsi="PT Sans" w:cs="PT Sans"/>
          <w:i/>
          <w:color w:val="281F18"/>
          <w:sz w:val="21"/>
          <w:szCs w:val="21"/>
        </w:rPr>
        <w:t>What do coaches need to know and be able to do to support teachers’ needs? How can you use communication skills and Learning-Focused Verbal Tools to build relationships and trust?</w:t>
      </w:r>
    </w:p>
    <w:p w:rsidR="008B5CF9" w:rsidRDefault="00F03F33">
      <w:pPr>
        <w:pStyle w:val="Heading2"/>
        <w:spacing w:before="0" w:after="120"/>
      </w:pPr>
      <w:bookmarkStart w:id="2" w:name="h.p4vjj9tamjxn" w:colFirst="0" w:colLast="0"/>
      <w:bookmarkEnd w:id="2"/>
      <w:r>
        <w:rPr>
          <w:rFonts w:ascii="PT Sans" w:eastAsia="PT Sans" w:hAnsi="PT Sans" w:cs="PT Sans"/>
          <w:color w:val="281F18"/>
          <w:sz w:val="32"/>
          <w:szCs w:val="32"/>
        </w:rPr>
        <w:t>Getting Started</w:t>
      </w:r>
    </w:p>
    <w:p w:rsidR="008B5CF9" w:rsidRDefault="00F03F33">
      <w:r>
        <w:rPr>
          <w:rFonts w:ascii="PT Sans" w:eastAsia="PT Sans" w:hAnsi="PT Sans" w:cs="PT Sans"/>
          <w:color w:val="281F18"/>
          <w:sz w:val="21"/>
          <w:szCs w:val="21"/>
        </w:rPr>
        <w:t>As a coach, you will:</w:t>
      </w:r>
    </w:p>
    <w:p w:rsidR="008B5CF9" w:rsidRDefault="00F03F33">
      <w:pPr>
        <w:numPr>
          <w:ilvl w:val="0"/>
          <w:numId w:val="8"/>
        </w:numPr>
        <w:ind w:left="480" w:right="240" w:hanging="360"/>
        <w:contextualSpacing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Use communication skills and Learning-</w:t>
      </w:r>
      <w:r>
        <w:rPr>
          <w:rFonts w:ascii="PT Sans" w:eastAsia="PT Sans" w:hAnsi="PT Sans" w:cs="PT Sans"/>
          <w:color w:val="281F18"/>
          <w:sz w:val="21"/>
          <w:szCs w:val="21"/>
        </w:rPr>
        <w:t>Focused Verbal Tools to focus on student learning.</w:t>
      </w:r>
    </w:p>
    <w:p w:rsidR="008B5CF9" w:rsidRDefault="00F03F33">
      <w:pPr>
        <w:numPr>
          <w:ilvl w:val="0"/>
          <w:numId w:val="8"/>
        </w:numPr>
        <w:ind w:left="480" w:right="240" w:hanging="360"/>
        <w:contextualSpacing/>
        <w:rPr>
          <w:color w:val="281F18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Build relationships and trust.</w:t>
      </w:r>
    </w:p>
    <w:p w:rsidR="008B5CF9" w:rsidRDefault="008B5CF9">
      <w:pPr>
        <w:ind w:left="480" w:right="240"/>
      </w:pPr>
    </w:p>
    <w:p w:rsidR="008B5CF9" w:rsidRDefault="00F03F33">
      <w:pPr>
        <w:pStyle w:val="Heading3"/>
        <w:spacing w:before="0" w:after="120"/>
      </w:pPr>
      <w:bookmarkStart w:id="3" w:name="h.lr7nt416d96g" w:colFirst="0" w:colLast="0"/>
      <w:bookmarkEnd w:id="3"/>
      <w:r>
        <w:rPr>
          <w:rFonts w:ascii="PT Sans" w:eastAsia="PT Sans" w:hAnsi="PT Sans" w:cs="PT Sans"/>
          <w:color w:val="281F18"/>
          <w:sz w:val="26"/>
          <w:szCs w:val="26"/>
        </w:rPr>
        <w:t>Starting a Coaching Conversation</w:t>
      </w:r>
    </w:p>
    <w:p w:rsidR="008B5CF9" w:rsidRDefault="00F03F33">
      <w:r>
        <w:rPr>
          <w:rFonts w:ascii="PT Sans" w:eastAsia="PT Sans" w:hAnsi="PT Sans" w:cs="PT Sans"/>
          <w:color w:val="281F18"/>
          <w:sz w:val="21"/>
          <w:szCs w:val="21"/>
        </w:rPr>
        <w:t>Communication skills help coaches earn trust and inspire collaborating teachers to think more deeply about using available and emerging tech</w:t>
      </w:r>
      <w:r>
        <w:rPr>
          <w:rFonts w:ascii="PT Sans" w:eastAsia="PT Sans" w:hAnsi="PT Sans" w:cs="PT Sans"/>
          <w:color w:val="281F18"/>
          <w:sz w:val="21"/>
          <w:szCs w:val="21"/>
        </w:rPr>
        <w:t>nologies. You will learn and practice communication skills using Learning-Focused Verbal Tools in this activity. </w:t>
      </w:r>
      <w:r>
        <w:rPr>
          <w:rFonts w:ascii="PT Sans" w:eastAsia="PT Sans" w:hAnsi="PT Sans" w:cs="PT Sans"/>
          <w:color w:val="281F18"/>
          <w:sz w:val="21"/>
          <w:szCs w:val="21"/>
        </w:rPr>
        <w:br/>
      </w:r>
    </w:p>
    <w:p w:rsidR="008B5CF9" w:rsidRDefault="00F03F33">
      <w:pPr>
        <w:numPr>
          <w:ilvl w:val="0"/>
          <w:numId w:val="13"/>
        </w:numPr>
        <w:spacing w:after="240"/>
        <w:ind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Review the </w:t>
      </w:r>
      <w:r>
        <w:rPr>
          <w:rFonts w:ascii="PT Sans" w:eastAsia="PT Sans" w:hAnsi="PT Sans" w:cs="PT Sans"/>
          <w:b/>
          <w:color w:val="281F18"/>
          <w:sz w:val="21"/>
          <w:szCs w:val="21"/>
        </w:rPr>
        <w:t xml:space="preserve">Opening the Door to a Coaching Conversation </w:t>
      </w:r>
      <w:proofErr w:type="spellStart"/>
      <w:r>
        <w:rPr>
          <w:rFonts w:ascii="PT Sans" w:eastAsia="PT Sans" w:hAnsi="PT Sans" w:cs="PT Sans"/>
          <w:b/>
          <w:color w:val="281F18"/>
          <w:sz w:val="21"/>
          <w:szCs w:val="21"/>
        </w:rPr>
        <w:t>Protocal</w:t>
      </w:r>
      <w:proofErr w:type="spellEnd"/>
      <w:r>
        <w:rPr>
          <w:rFonts w:ascii="PT Sans" w:eastAsia="PT Sans" w:hAnsi="PT Sans" w:cs="PT Sans"/>
          <w:color w:val="281F18"/>
          <w:sz w:val="21"/>
          <w:szCs w:val="21"/>
        </w:rPr>
        <w:t xml:space="preserve"> and the </w:t>
      </w:r>
      <w:r>
        <w:rPr>
          <w:rFonts w:ascii="PT Sans" w:eastAsia="PT Sans" w:hAnsi="PT Sans" w:cs="PT Sans"/>
          <w:b/>
          <w:color w:val="281F18"/>
          <w:sz w:val="21"/>
          <w:szCs w:val="21"/>
        </w:rPr>
        <w:t>Learning-Focused Verbal Tools Table</w:t>
      </w:r>
      <w:r>
        <w:rPr>
          <w:rFonts w:ascii="PT Sans" w:eastAsia="PT Sans" w:hAnsi="PT Sans" w:cs="PT Sans"/>
          <w:color w:val="281F18"/>
          <w:sz w:val="21"/>
          <w:szCs w:val="21"/>
        </w:rPr>
        <w:t>.</w:t>
      </w:r>
    </w:p>
    <w:p w:rsidR="008B5CF9" w:rsidRDefault="00F03F33">
      <w:pPr>
        <w:numPr>
          <w:ilvl w:val="0"/>
          <w:numId w:val="9"/>
        </w:numPr>
        <w:ind w:right="240" w:hanging="360"/>
        <w:contextualSpacing/>
        <w:rPr>
          <w:rFonts w:ascii="PT Sans" w:eastAsia="PT Sans" w:hAnsi="PT Sans" w:cs="PT Sans"/>
          <w:color w:val="281F18"/>
          <w:sz w:val="21"/>
          <w:szCs w:val="21"/>
        </w:rPr>
      </w:pPr>
      <w:r>
        <w:rPr>
          <w:rFonts w:ascii="PT Sans" w:eastAsia="PT Sans" w:hAnsi="PT Sans" w:cs="PT Sans"/>
          <w:color w:val="281F18"/>
          <w:sz w:val="21"/>
          <w:szCs w:val="21"/>
        </w:rPr>
        <w:t>Complete the Opening the Door to</w:t>
      </w:r>
      <w:r>
        <w:rPr>
          <w:rFonts w:ascii="PT Sans" w:eastAsia="PT Sans" w:hAnsi="PT Sans" w:cs="PT Sans"/>
          <w:color w:val="281F18"/>
          <w:sz w:val="21"/>
          <w:szCs w:val="21"/>
        </w:rPr>
        <w:t xml:space="preserve"> a Coaching Conversation Activity below to deepen your skills in responding to a coaching opportunity.</w:t>
      </w:r>
    </w:p>
    <w:p w:rsidR="008B5CF9" w:rsidRDefault="008B5CF9">
      <w:pPr>
        <w:ind w:left="480" w:right="240"/>
      </w:pPr>
    </w:p>
    <w:p w:rsidR="008B5CF9" w:rsidRDefault="00F03F33">
      <w:pPr>
        <w:pStyle w:val="Heading3"/>
        <w:spacing w:before="0" w:after="120"/>
      </w:pPr>
      <w:bookmarkStart w:id="4" w:name="h.tykfsg9h1xpk" w:colFirst="0" w:colLast="0"/>
      <w:bookmarkEnd w:id="4"/>
      <w:r>
        <w:rPr>
          <w:rFonts w:ascii="PT Sans" w:eastAsia="PT Sans" w:hAnsi="PT Sans" w:cs="PT Sans"/>
          <w:sz w:val="28"/>
          <w:szCs w:val="28"/>
        </w:rPr>
        <w:t xml:space="preserve">Opening the Door to a Coaching Conversation </w:t>
      </w:r>
      <w:r>
        <w:rPr>
          <w:rFonts w:ascii="PT Sans" w:eastAsia="PT Sans" w:hAnsi="PT Sans" w:cs="PT Sans"/>
          <w:color w:val="281F18"/>
          <w:sz w:val="28"/>
          <w:szCs w:val="28"/>
        </w:rPr>
        <w:t>Activity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Split into A/B partners.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Person A will be a teacher in distress.  Think about a distressful moment in your teaching experience in which you would have benefited from coaching from a colleague.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Person B will ask Person A what’s up.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Person A will state their distressful situation.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C</w:t>
      </w:r>
      <w:r>
        <w:rPr>
          <w:rFonts w:ascii="PT Sans" w:eastAsia="PT Sans" w:hAnsi="PT Sans" w:cs="PT Sans"/>
          <w:sz w:val="20"/>
          <w:szCs w:val="20"/>
        </w:rPr>
        <w:t>ontinue to follow the protocol.  Use paraphrasing, clarifying questions, and probing questions when appropriate.  Use the Learning-Focused Verbal Tools included in this packet.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Reverse the roles so that each partner can </w:t>
      </w:r>
      <w:proofErr w:type="spellStart"/>
      <w:r>
        <w:rPr>
          <w:rFonts w:ascii="PT Sans" w:eastAsia="PT Sans" w:hAnsi="PT Sans" w:cs="PT Sans"/>
          <w:sz w:val="20"/>
          <w:szCs w:val="20"/>
        </w:rPr>
        <w:t>pratice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 starting a coaching conversa</w:t>
      </w:r>
      <w:r>
        <w:rPr>
          <w:rFonts w:ascii="PT Sans" w:eastAsia="PT Sans" w:hAnsi="PT Sans" w:cs="PT Sans"/>
          <w:sz w:val="20"/>
          <w:szCs w:val="20"/>
        </w:rPr>
        <w:t>tion.</w:t>
      </w:r>
    </w:p>
    <w:p w:rsidR="008B5CF9" w:rsidRDefault="00F03F33">
      <w:pPr>
        <w:numPr>
          <w:ilvl w:val="0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Debrief:</w:t>
      </w:r>
    </w:p>
    <w:p w:rsidR="008B5CF9" w:rsidRDefault="00F03F33">
      <w:pPr>
        <w:numPr>
          <w:ilvl w:val="1"/>
          <w:numId w:val="10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How did this activity help or hinder your ability to start a coaching conversation?</w:t>
      </w:r>
    </w:p>
    <w:p w:rsidR="008B5CF9" w:rsidRDefault="008B5CF9">
      <w:pPr>
        <w:ind w:left="720"/>
      </w:pPr>
    </w:p>
    <w:p w:rsidR="008B5CF9" w:rsidRDefault="00F03F33">
      <w:r>
        <w:rPr>
          <w:rFonts w:ascii="PT Sans" w:eastAsia="PT Sans" w:hAnsi="PT Sans" w:cs="PT Sans"/>
          <w:b/>
          <w:sz w:val="28"/>
          <w:szCs w:val="28"/>
        </w:rPr>
        <w:t>Opening the Door to a Coaching Conversation Protocol</w:t>
      </w:r>
    </w:p>
    <w:p w:rsidR="008B5CF9" w:rsidRDefault="008B5CF9"/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If you think your colleague is distressed, ask what’s up. 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this might be during a meeting time or migh</w:t>
      </w:r>
      <w:r>
        <w:rPr>
          <w:rFonts w:ascii="PT Sans" w:eastAsia="PT Sans" w:hAnsi="PT Sans" w:cs="PT Sans"/>
          <w:sz w:val="20"/>
          <w:szCs w:val="20"/>
        </w:rPr>
        <w:t>t be when time is too short to have a full conservation - like the hallway or at lunch.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Listen without interrupting.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When he/she stops talking, clarify by summarizing the </w:t>
      </w:r>
      <w:r>
        <w:rPr>
          <w:rFonts w:ascii="PT Sans" w:eastAsia="PT Sans" w:hAnsi="PT Sans" w:cs="PT Sans"/>
          <w:b/>
          <w:sz w:val="20"/>
          <w:szCs w:val="20"/>
        </w:rPr>
        <w:t>emotion</w:t>
      </w:r>
      <w:r>
        <w:rPr>
          <w:rFonts w:ascii="PT Sans" w:eastAsia="PT Sans" w:hAnsi="PT Sans" w:cs="PT Sans"/>
          <w:sz w:val="20"/>
          <w:szCs w:val="20"/>
        </w:rPr>
        <w:t xml:space="preserve"> and </w:t>
      </w:r>
      <w:r>
        <w:rPr>
          <w:rFonts w:ascii="PT Sans" w:eastAsia="PT Sans" w:hAnsi="PT Sans" w:cs="PT Sans"/>
          <w:b/>
          <w:sz w:val="20"/>
          <w:szCs w:val="20"/>
        </w:rPr>
        <w:t>content</w:t>
      </w:r>
      <w:r>
        <w:rPr>
          <w:rFonts w:ascii="PT Sans" w:eastAsia="PT Sans" w:hAnsi="PT Sans" w:cs="PT Sans"/>
          <w:sz w:val="20"/>
          <w:szCs w:val="20"/>
        </w:rPr>
        <w:t xml:space="preserve"> of what was said.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Ex. “You’re </w:t>
      </w:r>
      <w:proofErr w:type="spellStart"/>
      <w:r>
        <w:rPr>
          <w:rFonts w:ascii="PT Sans" w:eastAsia="PT Sans" w:hAnsi="PT Sans" w:cs="PT Sans"/>
          <w:sz w:val="20"/>
          <w:szCs w:val="20"/>
        </w:rPr>
        <w:t>frusturated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 because the kids kept i</w:t>
      </w:r>
      <w:r>
        <w:rPr>
          <w:rFonts w:ascii="PT Sans" w:eastAsia="PT Sans" w:hAnsi="PT Sans" w:cs="PT Sans"/>
          <w:sz w:val="20"/>
          <w:szCs w:val="20"/>
        </w:rPr>
        <w:t>nterrupting and talking out during instruction.”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Verbal and non-verbal feedback will tell whether you’ve understood the emotion and content accurately.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Try again if you’ve missed the mark.  Getting this part right gives you permission to continue.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Understa</w:t>
      </w:r>
      <w:r>
        <w:rPr>
          <w:rFonts w:ascii="PT Sans" w:eastAsia="PT Sans" w:hAnsi="PT Sans" w:cs="PT Sans"/>
          <w:sz w:val="20"/>
          <w:szCs w:val="20"/>
        </w:rPr>
        <w:t>te rather than risk overstating the emotion - ex. “concerned” rather than “overwhelmed”, “sad” versus “devastated”, “annoyed” versus “furious”.  It is better to have the teacher correct you “up” rather than “down”.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State what you perceive to be the teacher</w:t>
      </w:r>
      <w:r>
        <w:rPr>
          <w:rFonts w:ascii="PT Sans" w:eastAsia="PT Sans" w:hAnsi="PT Sans" w:cs="PT Sans"/>
          <w:sz w:val="20"/>
          <w:szCs w:val="20"/>
        </w:rPr>
        <w:t xml:space="preserve">’s </w:t>
      </w:r>
      <w:r>
        <w:rPr>
          <w:rFonts w:ascii="PT Sans" w:eastAsia="PT Sans" w:hAnsi="PT Sans" w:cs="PT Sans"/>
          <w:b/>
          <w:sz w:val="20"/>
          <w:szCs w:val="20"/>
        </w:rPr>
        <w:t>goal (to be, have, or do</w:t>
      </w:r>
      <w:r>
        <w:rPr>
          <w:rFonts w:ascii="PT Sans" w:eastAsia="PT Sans" w:hAnsi="PT Sans" w:cs="PT Sans"/>
          <w:sz w:val="20"/>
          <w:szCs w:val="20"/>
        </w:rPr>
        <w:t>).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Ex. “and what you want is to </w:t>
      </w:r>
      <w:proofErr w:type="spellStart"/>
      <w:r>
        <w:rPr>
          <w:rFonts w:ascii="PT Sans" w:eastAsia="PT Sans" w:hAnsi="PT Sans" w:cs="PT Sans"/>
          <w:sz w:val="20"/>
          <w:szCs w:val="20"/>
        </w:rPr>
        <w:t>havea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 well-managed classroom where students are on task and attentive.”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State the goal as something the teacher can actually control.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You want to promote </w:t>
      </w:r>
      <w:proofErr w:type="spellStart"/>
      <w:r>
        <w:rPr>
          <w:rFonts w:ascii="PT Sans" w:eastAsia="PT Sans" w:hAnsi="PT Sans" w:cs="PT Sans"/>
          <w:sz w:val="20"/>
          <w:szCs w:val="20"/>
        </w:rPr>
        <w:t>efficiany</w:t>
      </w:r>
      <w:proofErr w:type="spellEnd"/>
      <w:r>
        <w:rPr>
          <w:rFonts w:ascii="PT Sans" w:eastAsia="PT Sans" w:hAnsi="PT Sans" w:cs="PT Sans"/>
          <w:sz w:val="20"/>
          <w:szCs w:val="20"/>
        </w:rPr>
        <w:t xml:space="preserve"> (the teacher’s sense of power and ability to make things happen), not wishful thinking.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“And you’re looking for ways to make that happen.”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This statement helps move the teacher beyond emotion into thinking.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Solutions are possi</w:t>
      </w:r>
      <w:r>
        <w:rPr>
          <w:rFonts w:ascii="PT Sans" w:eastAsia="PT Sans" w:hAnsi="PT Sans" w:cs="PT Sans"/>
          <w:sz w:val="20"/>
          <w:szCs w:val="20"/>
        </w:rPr>
        <w:t>ble.  There is a way to reach the goal.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You now have opened the door to a coaching conversation.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If it can’t happen right away, finish by setting aside time to talk further.  Ex. “Let’s both think about this and meet in your room right after school today.”</w:t>
      </w:r>
    </w:p>
    <w:p w:rsidR="008B5CF9" w:rsidRDefault="00F03F33">
      <w:pPr>
        <w:numPr>
          <w:ilvl w:val="0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Follow-up conversation - by framing the issue ahead of time, you deal with the emotion and get the teacher’s thinking started.  Your follow-up conversation will be more focused and efficient as a result.  You should be able to jump directly into discussin</w:t>
      </w:r>
      <w:r>
        <w:rPr>
          <w:rFonts w:ascii="PT Sans" w:eastAsia="PT Sans" w:hAnsi="PT Sans" w:cs="PT Sans"/>
          <w:sz w:val="20"/>
          <w:szCs w:val="20"/>
        </w:rPr>
        <w:t>g strategies to reach the goal.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“What are some things you’ve tried?”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“Think about a time when your students were attentive to the lesson - what were some things you were doing that might have contributed to their good behavior?”</w:t>
      </w:r>
    </w:p>
    <w:p w:rsidR="008B5CF9" w:rsidRDefault="00F03F33">
      <w:pPr>
        <w:numPr>
          <w:ilvl w:val="1"/>
          <w:numId w:val="12"/>
        </w:numPr>
        <w:ind w:hanging="360"/>
        <w:contextualSpacing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“Would you like to hear som</w:t>
      </w:r>
      <w:r>
        <w:rPr>
          <w:rFonts w:ascii="PT Sans" w:eastAsia="PT Sans" w:hAnsi="PT Sans" w:cs="PT Sans"/>
          <w:sz w:val="20"/>
          <w:szCs w:val="20"/>
        </w:rPr>
        <w:t>e ideas that have worked for other teachers?”</w:t>
      </w:r>
    </w:p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8B5CF9" w:rsidRDefault="008B5CF9"/>
    <w:p w:rsidR="00FB7C50" w:rsidRDefault="00FB7C50"/>
    <w:p w:rsidR="008B5CF9" w:rsidRDefault="00F03F33">
      <w:pPr>
        <w:jc w:val="center"/>
      </w:pPr>
      <w:r>
        <w:rPr>
          <w:rFonts w:ascii="PT Sans" w:eastAsia="PT Sans" w:hAnsi="PT Sans" w:cs="PT Sans"/>
          <w:b/>
          <w:sz w:val="28"/>
          <w:szCs w:val="28"/>
        </w:rPr>
        <w:t>Learning-Focused Verbal Tools</w:t>
      </w:r>
    </w:p>
    <w:p w:rsidR="008B5CF9" w:rsidRDefault="008B5CF9"/>
    <w:tbl>
      <w:tblPr>
        <w:tblStyle w:val="a0"/>
        <w:tblW w:w="113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550"/>
        <w:gridCol w:w="4530"/>
      </w:tblGrid>
      <w:tr w:rsidR="008B5CF9" w:rsidTr="00FB7C50">
        <w:trPr>
          <w:trHeight w:val="350"/>
        </w:trPr>
        <w:tc>
          <w:tcPr>
            <w:tcW w:w="11370" w:type="dxa"/>
            <w:gridSpan w:val="3"/>
            <w:shd w:val="clear" w:color="auto" w:fill="EEECE1"/>
          </w:tcPr>
          <w:p w:rsidR="008B5CF9" w:rsidRDefault="00F03F33">
            <w:pPr>
              <w:contextualSpacing w:val="0"/>
              <w:jc w:val="center"/>
            </w:pPr>
            <w:r>
              <w:rPr>
                <w:rFonts w:ascii="PT Sans" w:eastAsia="PT Sans" w:hAnsi="PT Sans" w:cs="PT Sans"/>
                <w:b/>
              </w:rPr>
              <w:t>3 Types of Wait Time – 3 Purposes</w:t>
            </w:r>
          </w:p>
        </w:tc>
      </w:tr>
      <w:tr w:rsidR="008B5CF9" w:rsidTr="00FB7C50">
        <w:trPr>
          <w:trHeight w:val="90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Wait Time 1 – PAUSE after asking a question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PT Sans" w:eastAsia="PT Sans" w:hAnsi="PT Sans" w:cs="PT Sans"/>
              </w:rPr>
              <w:t>to allows think time</w:t>
            </w:r>
          </w:p>
          <w:p w:rsidR="008B5CF9" w:rsidRDefault="00F03F33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PT Sans" w:eastAsia="PT Sans" w:hAnsi="PT Sans" w:cs="PT Sans"/>
              </w:rPr>
              <w:t>to signal support for thinking</w:t>
            </w:r>
          </w:p>
          <w:p w:rsidR="008B5CF9" w:rsidRDefault="00F03F33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PT Sans" w:eastAsia="PT Sans" w:hAnsi="PT Sans" w:cs="PT Sans"/>
              </w:rPr>
              <w:t>to demonstrate your belief in your colleague’s capacity for thinking</w:t>
            </w:r>
          </w:p>
        </w:tc>
      </w:tr>
      <w:tr w:rsidR="008B5CF9" w:rsidTr="00FB7C50">
        <w:trPr>
          <w:trHeight w:val="58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Wait Time 2 – PAUSE after a colleague responds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PT Sans" w:eastAsia="PT Sans" w:hAnsi="PT Sans" w:cs="PT Sans"/>
              </w:rPr>
              <w:t>to allow time to retrieve additional  and/or related information</w:t>
            </w:r>
          </w:p>
        </w:tc>
      </w:tr>
      <w:tr w:rsidR="008B5CF9" w:rsidTr="00FB7C50">
        <w:trPr>
          <w:trHeight w:val="647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Wait Time 3 – PAUSE before your next question or response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PT Sans" w:eastAsia="PT Sans" w:hAnsi="PT Sans" w:cs="PT Sans"/>
              </w:rPr>
              <w:t>to model thoughtfulness and a need to think before responding</w:t>
            </w:r>
          </w:p>
        </w:tc>
      </w:tr>
      <w:tr w:rsidR="008B5CF9" w:rsidTr="00FB7C50">
        <w:trPr>
          <w:trHeight w:val="368"/>
        </w:trPr>
        <w:tc>
          <w:tcPr>
            <w:tcW w:w="11370" w:type="dxa"/>
            <w:gridSpan w:val="3"/>
            <w:shd w:val="clear" w:color="auto" w:fill="EEECE1"/>
          </w:tcPr>
          <w:p w:rsidR="008B5CF9" w:rsidRDefault="00F03F33">
            <w:pPr>
              <w:contextualSpacing w:val="0"/>
              <w:jc w:val="center"/>
            </w:pPr>
            <w:r>
              <w:rPr>
                <w:rFonts w:ascii="PT Sans" w:eastAsia="PT Sans" w:hAnsi="PT Sans" w:cs="PT Sans"/>
                <w:b/>
              </w:rPr>
              <w:t>3 Types of Paraphrase – 3 Intentions</w:t>
            </w:r>
          </w:p>
        </w:tc>
      </w:tr>
      <w:tr w:rsidR="008B5CF9" w:rsidTr="00FB7C50">
        <w:trPr>
          <w:trHeight w:val="118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Acknowledging and Clarifying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15"/>
              </w:numPr>
            </w:pPr>
            <w:r>
              <w:rPr>
                <w:rFonts w:ascii="PT Sans" w:eastAsia="PT Sans" w:hAnsi="PT Sans" w:cs="PT Sans"/>
              </w:rPr>
              <w:t>So, you’re feeling ______</w:t>
            </w:r>
          </w:p>
          <w:p w:rsidR="008B5CF9" w:rsidRDefault="00F03F33">
            <w:pPr>
              <w:numPr>
                <w:ilvl w:val="0"/>
                <w:numId w:val="15"/>
              </w:numPr>
            </w:pPr>
            <w:r>
              <w:rPr>
                <w:rFonts w:ascii="PT Sans" w:eastAsia="PT Sans" w:hAnsi="PT Sans" w:cs="PT Sans"/>
              </w:rPr>
              <w:t>You’re noticing that _____</w:t>
            </w:r>
          </w:p>
          <w:p w:rsidR="008B5CF9" w:rsidRDefault="00F03F33">
            <w:pPr>
              <w:numPr>
                <w:ilvl w:val="0"/>
                <w:numId w:val="15"/>
              </w:numPr>
            </w:pPr>
            <w:r>
              <w:rPr>
                <w:rFonts w:ascii="PT Sans" w:eastAsia="PT Sans" w:hAnsi="PT Sans" w:cs="PT Sans"/>
              </w:rPr>
              <w:t xml:space="preserve">In other </w:t>
            </w:r>
            <w:proofErr w:type="gramStart"/>
            <w:r>
              <w:rPr>
                <w:rFonts w:ascii="PT Sans" w:eastAsia="PT Sans" w:hAnsi="PT Sans" w:cs="PT Sans"/>
              </w:rPr>
              <w:t>words</w:t>
            </w:r>
            <w:proofErr w:type="gramEnd"/>
            <w:r>
              <w:rPr>
                <w:rFonts w:ascii="PT Sans" w:eastAsia="PT Sans" w:hAnsi="PT Sans" w:cs="PT Sans"/>
              </w:rPr>
              <w:t xml:space="preserve"> _____</w:t>
            </w:r>
          </w:p>
          <w:p w:rsidR="008B5CF9" w:rsidRDefault="00F03F33">
            <w:pPr>
              <w:numPr>
                <w:ilvl w:val="0"/>
                <w:numId w:val="15"/>
              </w:numPr>
            </w:pPr>
            <w:r>
              <w:rPr>
                <w:rFonts w:ascii="PT Sans" w:eastAsia="PT Sans" w:hAnsi="PT Sans" w:cs="PT Sans"/>
              </w:rPr>
              <w:t>Hmmm, you’re suggesting that _____.</w:t>
            </w:r>
          </w:p>
        </w:tc>
      </w:tr>
      <w:tr w:rsidR="008B5CF9" w:rsidTr="00FB7C50">
        <w:trPr>
          <w:trHeight w:val="72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Summarize and Organize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1"/>
              </w:numPr>
            </w:pPr>
            <w:r>
              <w:rPr>
                <w:rFonts w:ascii="PT Sans" w:eastAsia="PT Sans" w:hAnsi="PT Sans" w:cs="PT Sans"/>
              </w:rPr>
              <w:t>So there seems to be two key issues here.  ___ and ___.</w:t>
            </w:r>
          </w:p>
          <w:p w:rsidR="008B5CF9" w:rsidRDefault="00F03F33">
            <w:pPr>
              <w:numPr>
                <w:ilvl w:val="0"/>
                <w:numId w:val="1"/>
              </w:numPr>
            </w:pPr>
            <w:r>
              <w:rPr>
                <w:rFonts w:ascii="PT Sans" w:eastAsia="PT Sans" w:hAnsi="PT Sans" w:cs="PT Sans"/>
              </w:rPr>
              <w:t xml:space="preserve">On the one hand there is ____.  On the other </w:t>
            </w:r>
            <w:proofErr w:type="gramStart"/>
            <w:r>
              <w:rPr>
                <w:rFonts w:ascii="PT Sans" w:eastAsia="PT Sans" w:hAnsi="PT Sans" w:cs="PT Sans"/>
              </w:rPr>
              <w:t>hand</w:t>
            </w:r>
            <w:proofErr w:type="gramEnd"/>
            <w:r>
              <w:rPr>
                <w:rFonts w:ascii="PT Sans" w:eastAsia="PT Sans" w:hAnsi="PT Sans" w:cs="PT Sans"/>
              </w:rPr>
              <w:t xml:space="preserve"> there is ____.</w:t>
            </w:r>
          </w:p>
          <w:p w:rsidR="008B5CF9" w:rsidRDefault="00F03F33">
            <w:pPr>
              <w:numPr>
                <w:ilvl w:val="0"/>
                <w:numId w:val="1"/>
              </w:numPr>
            </w:pPr>
            <w:r>
              <w:rPr>
                <w:rFonts w:ascii="PT Sans" w:eastAsia="PT Sans" w:hAnsi="PT Sans" w:cs="PT Sans"/>
              </w:rPr>
              <w:t>For you then, several themes are emerging: ____.</w:t>
            </w:r>
          </w:p>
          <w:p w:rsidR="008B5CF9" w:rsidRDefault="00F03F33">
            <w:pPr>
              <w:numPr>
                <w:ilvl w:val="0"/>
                <w:numId w:val="1"/>
              </w:numPr>
            </w:pPr>
            <w:r>
              <w:rPr>
                <w:rFonts w:ascii="PT Sans" w:eastAsia="PT Sans" w:hAnsi="PT Sans" w:cs="PT Sans"/>
              </w:rPr>
              <w:t>It seems you’re considering a sequence or hierarchy here: _____.</w:t>
            </w:r>
          </w:p>
        </w:tc>
      </w:tr>
      <w:tr w:rsidR="008B5CF9" w:rsidTr="00FB7C50">
        <w:trPr>
          <w:trHeight w:val="400"/>
        </w:trPr>
        <w:tc>
          <w:tcPr>
            <w:tcW w:w="3290" w:type="dxa"/>
            <w:vMerge w:val="restart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Shifting Level of Abstraction (Up or Down)</w:t>
            </w:r>
          </w:p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  <w:i/>
                <w:sz w:val="16"/>
                <w:szCs w:val="16"/>
              </w:rPr>
              <w:t>*moves language and thinking to lower or higher logical level, illuminating larger ideas or shifting down to precision of thinking</w:t>
            </w:r>
          </w:p>
        </w:tc>
        <w:tc>
          <w:tcPr>
            <w:tcW w:w="8080" w:type="dxa"/>
            <w:gridSpan w:val="2"/>
          </w:tcPr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So, a(n) ______ </w:t>
            </w:r>
            <w:r>
              <w:rPr>
                <w:rFonts w:ascii="PT Sans" w:eastAsia="PT Sans" w:hAnsi="PT Sans" w:cs="PT Sans"/>
              </w:rPr>
              <w:t>for you might be _____.</w:t>
            </w:r>
          </w:p>
        </w:tc>
      </w:tr>
      <w:tr w:rsidR="008B5CF9" w:rsidTr="00FB7C50">
        <w:trPr>
          <w:trHeight w:val="720"/>
        </w:trPr>
        <w:tc>
          <w:tcPr>
            <w:tcW w:w="3290" w:type="dxa"/>
            <w:vMerge/>
          </w:tcPr>
          <w:p w:rsidR="008B5CF9" w:rsidRDefault="008B5CF9">
            <w:pPr>
              <w:contextualSpacing w:val="0"/>
            </w:pPr>
          </w:p>
        </w:tc>
        <w:tc>
          <w:tcPr>
            <w:tcW w:w="355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Shifting Up: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Category                      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Value   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Belief  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Assumption  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 xml:space="preserve">Goal </w:t>
            </w:r>
          </w:p>
          <w:p w:rsidR="008B5CF9" w:rsidRDefault="00F03F33">
            <w:pPr>
              <w:numPr>
                <w:ilvl w:val="0"/>
                <w:numId w:val="2"/>
              </w:numPr>
            </w:pPr>
            <w:r>
              <w:rPr>
                <w:rFonts w:ascii="PT Sans" w:eastAsia="PT Sans" w:hAnsi="PT Sans" w:cs="PT Sans"/>
              </w:rPr>
              <w:t>Intention</w:t>
            </w:r>
          </w:p>
        </w:tc>
        <w:tc>
          <w:tcPr>
            <w:tcW w:w="453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>Shifting Down: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Example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Non-example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Strategy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Choice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Action</w:t>
            </w:r>
          </w:p>
          <w:p w:rsidR="008B5CF9" w:rsidRDefault="00F03F33">
            <w:pPr>
              <w:numPr>
                <w:ilvl w:val="0"/>
                <w:numId w:val="4"/>
              </w:numPr>
            </w:pPr>
            <w:r>
              <w:rPr>
                <w:rFonts w:ascii="PT Sans" w:eastAsia="PT Sans" w:hAnsi="PT Sans" w:cs="PT Sans"/>
              </w:rPr>
              <w:t>Option</w:t>
            </w:r>
          </w:p>
        </w:tc>
      </w:tr>
      <w:tr w:rsidR="008B5CF9" w:rsidTr="00FB7C50">
        <w:trPr>
          <w:trHeight w:val="368"/>
        </w:trPr>
        <w:tc>
          <w:tcPr>
            <w:tcW w:w="11370" w:type="dxa"/>
            <w:gridSpan w:val="3"/>
            <w:shd w:val="clear" w:color="auto" w:fill="EEECE1"/>
          </w:tcPr>
          <w:p w:rsidR="008B5CF9" w:rsidRDefault="00F03F33">
            <w:pPr>
              <w:contextualSpacing w:val="0"/>
              <w:jc w:val="center"/>
            </w:pPr>
            <w:r>
              <w:rPr>
                <w:rFonts w:ascii="PT Sans" w:eastAsia="PT Sans" w:hAnsi="PT Sans" w:cs="PT Sans"/>
                <w:b/>
              </w:rPr>
              <w:t>Methods for Inviting Thinking</w:t>
            </w:r>
          </w:p>
        </w:tc>
      </w:tr>
      <w:tr w:rsidR="008B5CF9" w:rsidTr="00FB7C50">
        <w:trPr>
          <w:trHeight w:val="72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 xml:space="preserve">Using an </w:t>
            </w:r>
            <w:r>
              <w:rPr>
                <w:rFonts w:ascii="PT Sans" w:eastAsia="PT Sans" w:hAnsi="PT Sans" w:cs="PT Sans"/>
                <w:b/>
              </w:rPr>
              <w:t xml:space="preserve">approachable voice </w:t>
            </w:r>
            <w:r>
              <w:rPr>
                <w:rFonts w:ascii="PT Sans" w:eastAsia="PT Sans" w:hAnsi="PT Sans" w:cs="PT Sans"/>
              </w:rPr>
              <w:t>when talking with mentee</w:t>
            </w:r>
          </w:p>
        </w:tc>
        <w:tc>
          <w:tcPr>
            <w:tcW w:w="8080" w:type="dxa"/>
            <w:gridSpan w:val="2"/>
          </w:tcPr>
          <w:p w:rsidR="008B5CF9" w:rsidRDefault="00F03F33" w:rsidP="00FB7C50">
            <w:pPr>
              <w:numPr>
                <w:ilvl w:val="0"/>
                <w:numId w:val="15"/>
              </w:numPr>
              <w:ind w:hanging="299"/>
            </w:pPr>
            <w:r>
              <w:rPr>
                <w:rFonts w:ascii="PT Sans" w:eastAsia="PT Sans" w:hAnsi="PT Sans" w:cs="PT Sans"/>
              </w:rPr>
              <w:t xml:space="preserve">Modulating your voice so it rises at the end of your statement, paraphrase or question signals </w:t>
            </w:r>
            <w:r>
              <w:rPr>
                <w:rFonts w:ascii="PT Sans" w:eastAsia="PT Sans" w:hAnsi="PT Sans" w:cs="PT Sans"/>
                <w:i/>
              </w:rPr>
              <w:t>openness</w:t>
            </w:r>
            <w:r>
              <w:rPr>
                <w:rFonts w:ascii="PT Sans" w:eastAsia="PT Sans" w:hAnsi="PT Sans" w:cs="PT Sans"/>
              </w:rPr>
              <w:t xml:space="preserve"> and </w:t>
            </w:r>
            <w:r>
              <w:rPr>
                <w:rFonts w:ascii="PT Sans" w:eastAsia="PT Sans" w:hAnsi="PT Sans" w:cs="PT Sans"/>
                <w:i/>
              </w:rPr>
              <w:t>exploration</w:t>
            </w:r>
          </w:p>
        </w:tc>
      </w:tr>
      <w:tr w:rsidR="008B5CF9" w:rsidTr="00FB7C50">
        <w:trPr>
          <w:trHeight w:val="72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 xml:space="preserve">Using </w:t>
            </w:r>
            <w:r>
              <w:rPr>
                <w:rFonts w:ascii="PT Sans" w:eastAsia="PT Sans" w:hAnsi="PT Sans" w:cs="PT Sans"/>
                <w:b/>
              </w:rPr>
              <w:t>plural forms</w:t>
            </w:r>
            <w:r>
              <w:rPr>
                <w:rFonts w:ascii="PT Sans" w:eastAsia="PT Sans" w:hAnsi="PT Sans" w:cs="PT Sans"/>
              </w:rPr>
              <w:t xml:space="preserve"> with talking with mentee</w:t>
            </w:r>
          </w:p>
        </w:tc>
        <w:tc>
          <w:tcPr>
            <w:tcW w:w="8080" w:type="dxa"/>
            <w:gridSpan w:val="2"/>
          </w:tcPr>
          <w:p w:rsidR="008B5CF9" w:rsidRDefault="00F03F33" w:rsidP="00FB7C50">
            <w:pPr>
              <w:numPr>
                <w:ilvl w:val="0"/>
                <w:numId w:val="1"/>
              </w:numPr>
              <w:ind w:hanging="299"/>
            </w:pPr>
            <w:r>
              <w:rPr>
                <w:rFonts w:ascii="PT Sans" w:eastAsia="PT Sans" w:hAnsi="PT Sans" w:cs="PT Sans"/>
              </w:rPr>
              <w:t>Easier for the mentee requiring less evaluation in the early stage</w:t>
            </w:r>
            <w:r>
              <w:rPr>
                <w:rFonts w:ascii="PT Sans" w:eastAsia="PT Sans" w:hAnsi="PT Sans" w:cs="PT Sans"/>
              </w:rPr>
              <w:t xml:space="preserve">s of the conversation, before they know which issue to focus on </w:t>
            </w:r>
          </w:p>
          <w:p w:rsidR="008B5CF9" w:rsidRDefault="00F03F33" w:rsidP="00FB7C50">
            <w:pPr>
              <w:numPr>
                <w:ilvl w:val="0"/>
                <w:numId w:val="1"/>
              </w:numPr>
              <w:ind w:hanging="299"/>
            </w:pPr>
            <w:r>
              <w:rPr>
                <w:rFonts w:ascii="PT Sans" w:eastAsia="PT Sans" w:hAnsi="PT Sans" w:cs="PT Sans"/>
              </w:rPr>
              <w:t xml:space="preserve">Example: </w:t>
            </w:r>
            <w:r>
              <w:rPr>
                <w:rFonts w:ascii="PT Sans" w:eastAsia="PT Sans" w:hAnsi="PT Sans" w:cs="PT Sans"/>
                <w:i/>
              </w:rPr>
              <w:t>goals</w:t>
            </w:r>
            <w:r>
              <w:rPr>
                <w:rFonts w:ascii="PT Sans" w:eastAsia="PT Sans" w:hAnsi="PT Sans" w:cs="PT Sans"/>
              </w:rPr>
              <w:t xml:space="preserve"> instead of </w:t>
            </w:r>
            <w:r>
              <w:rPr>
                <w:rFonts w:ascii="PT Sans" w:eastAsia="PT Sans" w:hAnsi="PT Sans" w:cs="PT Sans"/>
                <w:i/>
              </w:rPr>
              <w:t>goal</w:t>
            </w:r>
            <w:r>
              <w:rPr>
                <w:rFonts w:ascii="PT Sans" w:eastAsia="PT Sans" w:hAnsi="PT Sans" w:cs="PT Sans"/>
              </w:rPr>
              <w:t xml:space="preserve">, </w:t>
            </w:r>
            <w:r>
              <w:rPr>
                <w:rFonts w:ascii="PT Sans" w:eastAsia="PT Sans" w:hAnsi="PT Sans" w:cs="PT Sans"/>
                <w:i/>
              </w:rPr>
              <w:t>concerns</w:t>
            </w:r>
            <w:r>
              <w:rPr>
                <w:rFonts w:ascii="PT Sans" w:eastAsia="PT Sans" w:hAnsi="PT Sans" w:cs="PT Sans"/>
              </w:rPr>
              <w:t xml:space="preserve"> instead of </w:t>
            </w:r>
            <w:r>
              <w:rPr>
                <w:rFonts w:ascii="PT Sans" w:eastAsia="PT Sans" w:hAnsi="PT Sans" w:cs="PT Sans"/>
                <w:i/>
              </w:rPr>
              <w:t>concern</w:t>
            </w:r>
          </w:p>
        </w:tc>
      </w:tr>
      <w:tr w:rsidR="008B5CF9" w:rsidTr="00FB7C50">
        <w:trPr>
          <w:trHeight w:val="720"/>
        </w:trPr>
        <w:tc>
          <w:tcPr>
            <w:tcW w:w="3290" w:type="dxa"/>
          </w:tcPr>
          <w:p w:rsidR="008B5CF9" w:rsidRDefault="00F03F33">
            <w:pPr>
              <w:contextualSpacing w:val="0"/>
            </w:pPr>
            <w:r>
              <w:rPr>
                <w:rFonts w:ascii="PT Sans" w:eastAsia="PT Sans" w:hAnsi="PT Sans" w:cs="PT Sans"/>
              </w:rPr>
              <w:t xml:space="preserve">Using </w:t>
            </w:r>
            <w:r>
              <w:rPr>
                <w:rFonts w:ascii="PT Sans" w:eastAsia="PT Sans" w:hAnsi="PT Sans" w:cs="PT Sans"/>
                <w:b/>
              </w:rPr>
              <w:t xml:space="preserve">exploratory language </w:t>
            </w:r>
            <w:r>
              <w:rPr>
                <w:rFonts w:ascii="PT Sans" w:eastAsia="PT Sans" w:hAnsi="PT Sans" w:cs="PT Sans"/>
              </w:rPr>
              <w:t>when talking with mentee</w:t>
            </w:r>
          </w:p>
        </w:tc>
        <w:tc>
          <w:tcPr>
            <w:tcW w:w="8080" w:type="dxa"/>
            <w:gridSpan w:val="2"/>
          </w:tcPr>
          <w:p w:rsidR="008B5CF9" w:rsidRDefault="00F03F33" w:rsidP="00FB7C50">
            <w:pPr>
              <w:numPr>
                <w:ilvl w:val="0"/>
                <w:numId w:val="2"/>
              </w:numPr>
              <w:ind w:hanging="299"/>
            </w:pPr>
            <w:r>
              <w:rPr>
                <w:rFonts w:ascii="PT Sans" w:eastAsia="PT Sans" w:hAnsi="PT Sans" w:cs="PT Sans"/>
              </w:rPr>
              <w:t>Inserting exploratory language when paraphrasing and questioning</w:t>
            </w:r>
          </w:p>
          <w:p w:rsidR="008B5CF9" w:rsidRDefault="008B5CF9" w:rsidP="00FB7C50">
            <w:pPr>
              <w:ind w:left="360" w:hanging="299"/>
              <w:contextualSpacing w:val="0"/>
            </w:pPr>
          </w:p>
          <w:p w:rsidR="008B5CF9" w:rsidRDefault="00F03F33" w:rsidP="00FB7C50">
            <w:pPr>
              <w:numPr>
                <w:ilvl w:val="0"/>
                <w:numId w:val="2"/>
              </w:numPr>
              <w:ind w:hanging="299"/>
            </w:pPr>
            <w:r>
              <w:rPr>
                <w:rFonts w:ascii="PT Sans" w:eastAsia="PT Sans" w:hAnsi="PT Sans" w:cs="PT Sans"/>
              </w:rPr>
              <w:t xml:space="preserve">Examples: </w:t>
            </w:r>
            <w:r>
              <w:rPr>
                <w:rFonts w:ascii="PT Sans" w:eastAsia="PT Sans" w:hAnsi="PT Sans" w:cs="PT Sans"/>
                <w:b/>
                <w:i/>
              </w:rPr>
              <w:t>some, might, seems, possible, hunches</w:t>
            </w:r>
          </w:p>
          <w:p w:rsidR="008B5CF9" w:rsidRDefault="008B5CF9" w:rsidP="00FB7C50">
            <w:pPr>
              <w:ind w:left="720" w:hanging="299"/>
              <w:contextualSpacing w:val="0"/>
            </w:pPr>
          </w:p>
          <w:p w:rsidR="008B5CF9" w:rsidRDefault="00F03F33" w:rsidP="00FB7C50">
            <w:pPr>
              <w:numPr>
                <w:ilvl w:val="0"/>
                <w:numId w:val="2"/>
              </w:numPr>
              <w:ind w:hanging="299"/>
              <w:rPr>
                <w:i/>
              </w:rPr>
            </w:pPr>
            <w:r>
              <w:rPr>
                <w:rFonts w:ascii="PT Sans" w:eastAsia="PT Sans" w:hAnsi="PT Sans" w:cs="PT Sans"/>
                <w:i/>
              </w:rPr>
              <w:t xml:space="preserve">“So, you’re noticing that </w:t>
            </w:r>
            <w:r>
              <w:rPr>
                <w:rFonts w:ascii="PT Sans" w:eastAsia="PT Sans" w:hAnsi="PT Sans" w:cs="PT Sans"/>
                <w:b/>
                <w:i/>
              </w:rPr>
              <w:t>some</w:t>
            </w:r>
            <w:r>
              <w:rPr>
                <w:rFonts w:ascii="PT Sans" w:eastAsia="PT Sans" w:hAnsi="PT Sans" w:cs="PT Sans"/>
                <w:i/>
              </w:rPr>
              <w:t xml:space="preserve"> of your students are having difficulty with that concept.”</w:t>
            </w:r>
          </w:p>
          <w:p w:rsidR="008B5CF9" w:rsidRDefault="008B5CF9" w:rsidP="00FB7C50">
            <w:pPr>
              <w:ind w:left="720" w:hanging="299"/>
              <w:contextualSpacing w:val="0"/>
            </w:pPr>
          </w:p>
          <w:p w:rsidR="008B5CF9" w:rsidRDefault="00F03F33" w:rsidP="00FB7C50">
            <w:pPr>
              <w:numPr>
                <w:ilvl w:val="0"/>
                <w:numId w:val="2"/>
              </w:numPr>
              <w:ind w:hanging="299"/>
              <w:rPr>
                <w:i/>
              </w:rPr>
            </w:pPr>
            <w:r>
              <w:rPr>
                <w:rFonts w:ascii="PT Sans" w:eastAsia="PT Sans" w:hAnsi="PT Sans" w:cs="PT Sans"/>
                <w:i/>
              </w:rPr>
              <w:t xml:space="preserve">“How </w:t>
            </w:r>
            <w:r>
              <w:rPr>
                <w:rFonts w:ascii="PT Sans" w:eastAsia="PT Sans" w:hAnsi="PT Sans" w:cs="PT Sans"/>
                <w:b/>
                <w:i/>
              </w:rPr>
              <w:t>might</w:t>
            </w:r>
            <w:r>
              <w:rPr>
                <w:rFonts w:ascii="PT Sans" w:eastAsia="PT Sans" w:hAnsi="PT Sans" w:cs="PT Sans"/>
                <w:i/>
              </w:rPr>
              <w:t xml:space="preserve"> you go about doing that?”</w:t>
            </w:r>
          </w:p>
          <w:p w:rsidR="008B5CF9" w:rsidRDefault="008B5CF9" w:rsidP="00FB7C50">
            <w:pPr>
              <w:ind w:left="720" w:hanging="299"/>
              <w:contextualSpacing w:val="0"/>
            </w:pPr>
          </w:p>
          <w:p w:rsidR="008B5CF9" w:rsidRDefault="00F03F33" w:rsidP="00FB7C50">
            <w:pPr>
              <w:numPr>
                <w:ilvl w:val="0"/>
                <w:numId w:val="2"/>
              </w:numPr>
              <w:ind w:hanging="299"/>
              <w:rPr>
                <w:i/>
              </w:rPr>
            </w:pPr>
            <w:r>
              <w:rPr>
                <w:rFonts w:ascii="PT Sans" w:eastAsia="PT Sans" w:hAnsi="PT Sans" w:cs="PT Sans"/>
                <w:i/>
              </w:rPr>
              <w:t xml:space="preserve">“You’re naming </w:t>
            </w:r>
            <w:r>
              <w:rPr>
                <w:rFonts w:ascii="PT Sans" w:eastAsia="PT Sans" w:hAnsi="PT Sans" w:cs="PT Sans"/>
                <w:b/>
                <w:i/>
              </w:rPr>
              <w:t>some possible</w:t>
            </w:r>
            <w:r>
              <w:rPr>
                <w:rFonts w:ascii="PT Sans" w:eastAsia="PT Sans" w:hAnsi="PT Sans" w:cs="PT Sans"/>
                <w:i/>
              </w:rPr>
              <w:t xml:space="preserve"> solutions. Which </w:t>
            </w:r>
            <w:r>
              <w:rPr>
                <w:rFonts w:ascii="PT Sans" w:eastAsia="PT Sans" w:hAnsi="PT Sans" w:cs="PT Sans"/>
                <w:b/>
                <w:i/>
              </w:rPr>
              <w:t>seem</w:t>
            </w:r>
            <w:r>
              <w:rPr>
                <w:rFonts w:ascii="PT Sans" w:eastAsia="PT Sans" w:hAnsi="PT Sans" w:cs="PT Sans"/>
                <w:i/>
              </w:rPr>
              <w:t xml:space="preserve"> most promising at this point?”</w:t>
            </w:r>
          </w:p>
          <w:p w:rsidR="008B5CF9" w:rsidRDefault="008B5CF9" w:rsidP="00FB7C50">
            <w:pPr>
              <w:ind w:left="720" w:hanging="299"/>
              <w:contextualSpacing w:val="0"/>
            </w:pPr>
          </w:p>
          <w:p w:rsidR="008B5CF9" w:rsidRDefault="00F03F33" w:rsidP="00FB7C50">
            <w:pPr>
              <w:numPr>
                <w:ilvl w:val="0"/>
                <w:numId w:val="2"/>
              </w:numPr>
              <w:ind w:hanging="299"/>
              <w:rPr>
                <w:i/>
              </w:rPr>
            </w:pPr>
            <w:r>
              <w:rPr>
                <w:rFonts w:ascii="PT Sans" w:eastAsia="PT Sans" w:hAnsi="PT Sans" w:cs="PT Sans"/>
                <w:i/>
              </w:rPr>
              <w:t xml:space="preserve">What are </w:t>
            </w:r>
            <w:r>
              <w:rPr>
                <w:rFonts w:ascii="PT Sans" w:eastAsia="PT Sans" w:hAnsi="PT Sans" w:cs="PT Sans"/>
                <w:b/>
                <w:i/>
              </w:rPr>
              <w:t xml:space="preserve">some </w:t>
            </w:r>
            <w:r>
              <w:rPr>
                <w:rFonts w:ascii="PT Sans" w:eastAsia="PT Sans" w:hAnsi="PT Sans" w:cs="PT Sans"/>
                <w:i/>
              </w:rPr>
              <w:t xml:space="preserve">of your </w:t>
            </w:r>
            <w:r>
              <w:rPr>
                <w:rFonts w:ascii="PT Sans" w:eastAsia="PT Sans" w:hAnsi="PT Sans" w:cs="PT Sans"/>
                <w:b/>
                <w:i/>
              </w:rPr>
              <w:t xml:space="preserve">hunches </w:t>
            </w:r>
            <w:r>
              <w:rPr>
                <w:rFonts w:ascii="PT Sans" w:eastAsia="PT Sans" w:hAnsi="PT Sans" w:cs="PT Sans"/>
                <w:i/>
              </w:rPr>
              <w:t xml:space="preserve">about why that </w:t>
            </w:r>
            <w:r>
              <w:rPr>
                <w:rFonts w:ascii="PT Sans" w:eastAsia="PT Sans" w:hAnsi="PT Sans" w:cs="PT Sans"/>
                <w:b/>
                <w:i/>
              </w:rPr>
              <w:t>may</w:t>
            </w:r>
            <w:r>
              <w:rPr>
                <w:rFonts w:ascii="PT Sans" w:eastAsia="PT Sans" w:hAnsi="PT Sans" w:cs="PT Sans"/>
                <w:i/>
              </w:rPr>
              <w:t xml:space="preserve"> be so?”</w:t>
            </w:r>
          </w:p>
        </w:tc>
      </w:tr>
    </w:tbl>
    <w:p w:rsidR="00FB7C50" w:rsidRPr="00FB7C50" w:rsidRDefault="00F03F33" w:rsidP="00FB7C50">
      <w:pPr>
        <w:ind w:left="3690"/>
        <w:jc w:val="right"/>
      </w:pPr>
      <w:r>
        <w:rPr>
          <w:rFonts w:ascii="PT Sans" w:eastAsia="PT Sans" w:hAnsi="PT Sans" w:cs="PT Sans"/>
          <w:sz w:val="18"/>
          <w:szCs w:val="18"/>
        </w:rPr>
        <w:t xml:space="preserve">Adapted from Mentoring Matters: A Practical Guide to Learning-Focused Relationships by Lipton, L., Wellman, B. and </w:t>
      </w:r>
      <w:proofErr w:type="spellStart"/>
      <w:r>
        <w:rPr>
          <w:rFonts w:ascii="PT Sans" w:eastAsia="PT Sans" w:hAnsi="PT Sans" w:cs="PT Sans"/>
          <w:sz w:val="18"/>
          <w:szCs w:val="18"/>
        </w:rPr>
        <w:t>Humbard</w:t>
      </w:r>
      <w:proofErr w:type="spellEnd"/>
      <w:r>
        <w:rPr>
          <w:rFonts w:ascii="PT Sans" w:eastAsia="PT Sans" w:hAnsi="PT Sans" w:cs="PT Sans"/>
          <w:sz w:val="18"/>
          <w:szCs w:val="18"/>
        </w:rPr>
        <w:t xml:space="preserve">, </w:t>
      </w:r>
      <w:proofErr w:type="gramStart"/>
      <w:r>
        <w:rPr>
          <w:rFonts w:ascii="PT Sans" w:eastAsia="PT Sans" w:hAnsi="PT Sans" w:cs="PT Sans"/>
          <w:sz w:val="18"/>
          <w:szCs w:val="18"/>
        </w:rPr>
        <w:t>C.,</w:t>
      </w:r>
      <w:proofErr w:type="spellStart"/>
      <w:r>
        <w:rPr>
          <w:rFonts w:ascii="PT Sans" w:eastAsia="PT Sans" w:hAnsi="PT Sans" w:cs="PT Sans"/>
          <w:sz w:val="18"/>
          <w:szCs w:val="18"/>
        </w:rPr>
        <w:t>MiraVia</w:t>
      </w:r>
      <w:proofErr w:type="spellEnd"/>
      <w:proofErr w:type="gramEnd"/>
      <w:r>
        <w:rPr>
          <w:rFonts w:ascii="PT Sans" w:eastAsia="PT Sans" w:hAnsi="PT Sans" w:cs="PT Sans"/>
          <w:sz w:val="18"/>
          <w:szCs w:val="18"/>
        </w:rPr>
        <w:t>, Sherman, CT, February 200</w:t>
      </w:r>
      <w:bookmarkStart w:id="5" w:name="h.gjdgxs" w:colFirst="0" w:colLast="0"/>
      <w:bookmarkEnd w:id="5"/>
      <w:r w:rsidR="00FB7C50">
        <w:rPr>
          <w:rFonts w:ascii="PT Sans" w:eastAsia="PT Sans" w:hAnsi="PT Sans" w:cs="PT Sans"/>
          <w:sz w:val="18"/>
          <w:szCs w:val="18"/>
        </w:rPr>
        <w:t>3</w:t>
      </w:r>
    </w:p>
    <w:p w:rsidR="008B5CF9" w:rsidRDefault="00F03F33">
      <w:pPr>
        <w:spacing w:after="130"/>
        <w:jc w:val="center"/>
      </w:pPr>
      <w:r>
        <w:rPr>
          <w:rFonts w:ascii="PT Sans" w:eastAsia="PT Sans" w:hAnsi="PT Sans" w:cs="PT Sans"/>
          <w:b/>
          <w:sz w:val="32"/>
          <w:szCs w:val="32"/>
        </w:rPr>
        <w:t>Communication Skills: Self and/or Peer Assessment</w:t>
      </w:r>
    </w:p>
    <w:tbl>
      <w:tblPr>
        <w:tblStyle w:val="a1"/>
        <w:tblW w:w="10923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3"/>
        <w:gridCol w:w="900"/>
        <w:gridCol w:w="1440"/>
        <w:gridCol w:w="1260"/>
      </w:tblGrid>
      <w:tr w:rsidR="008B5CF9" w:rsidTr="00FB7C50">
        <w:trPr>
          <w:trHeight w:val="300"/>
        </w:trPr>
        <w:tc>
          <w:tcPr>
            <w:tcW w:w="7323" w:type="dxa"/>
            <w:tcMar>
              <w:left w:w="115" w:type="dxa"/>
              <w:right w:w="115" w:type="dxa"/>
            </w:tcMar>
          </w:tcPr>
          <w:p w:rsidR="008B5CF9" w:rsidRDefault="00F03F33">
            <w:r>
              <w:rPr>
                <w:rFonts w:ascii="PT Sans" w:eastAsia="PT Sans" w:hAnsi="PT Sans" w:cs="PT Sans"/>
                <w:b/>
                <w:sz w:val="40"/>
                <w:szCs w:val="40"/>
                <w:vertAlign w:val="subscript"/>
              </w:rPr>
              <w:t>Norm</w:t>
            </w:r>
          </w:p>
        </w:tc>
        <w:tc>
          <w:tcPr>
            <w:tcW w:w="900" w:type="dxa"/>
          </w:tcPr>
          <w:p w:rsidR="008B5CF9" w:rsidRDefault="00F03F33">
            <w:pPr>
              <w:jc w:val="center"/>
            </w:pPr>
            <w:r>
              <w:rPr>
                <w:rFonts w:ascii="PT Sans" w:eastAsia="PT Sans" w:hAnsi="PT Sans" w:cs="PT Sans"/>
                <w:b/>
              </w:rPr>
              <w:t>Rarely</w:t>
            </w:r>
          </w:p>
        </w:tc>
        <w:tc>
          <w:tcPr>
            <w:tcW w:w="1440" w:type="dxa"/>
          </w:tcPr>
          <w:p w:rsidR="008B5CF9" w:rsidRDefault="00F03F33">
            <w:pPr>
              <w:jc w:val="center"/>
            </w:pPr>
            <w:r>
              <w:rPr>
                <w:rFonts w:ascii="PT Sans" w:eastAsia="PT Sans" w:hAnsi="PT Sans" w:cs="PT Sans"/>
                <w:b/>
              </w:rPr>
              <w:t>Occasionally</w:t>
            </w:r>
          </w:p>
        </w:tc>
        <w:tc>
          <w:tcPr>
            <w:tcW w:w="1260" w:type="dxa"/>
          </w:tcPr>
          <w:p w:rsidR="008B5CF9" w:rsidRDefault="00F03F33">
            <w:pPr>
              <w:jc w:val="center"/>
            </w:pPr>
            <w:r>
              <w:rPr>
                <w:rFonts w:ascii="PT Sans" w:eastAsia="PT Sans" w:hAnsi="PT Sans" w:cs="PT Sans"/>
                <w:b/>
              </w:rPr>
              <w:t>Frequently</w:t>
            </w:r>
          </w:p>
        </w:tc>
      </w:tr>
      <w:tr w:rsidR="008B5CF9" w:rsidTr="00FB7C50">
        <w:tc>
          <w:tcPr>
            <w:tcW w:w="7323" w:type="dxa"/>
            <w:shd w:val="clear" w:color="auto" w:fill="E0E0E0"/>
          </w:tcPr>
          <w:p w:rsidR="008B5CF9" w:rsidRDefault="00F03F33">
            <w:r>
              <w:rPr>
                <w:rFonts w:ascii="PT Sans" w:eastAsia="PT Sans" w:hAnsi="PT Sans" w:cs="PT Sans"/>
                <w:b/>
              </w:rPr>
              <w:t>Pausing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Listens attentively to others’ ideas with mind and body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Allows time for thoughts after asking a question or making a response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Rewords in own mind what others are saying to further understand their communication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Waits until others have finished before entering the conversation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  <w:shd w:val="clear" w:color="auto" w:fill="E0E0E0"/>
          </w:tcPr>
          <w:p w:rsidR="008B5CF9" w:rsidRDefault="00F03F33">
            <w:r>
              <w:rPr>
                <w:rFonts w:ascii="PT Sans" w:eastAsia="PT Sans" w:hAnsi="PT Sans" w:cs="PT Sans"/>
                <w:b/>
              </w:rPr>
              <w:t>Paraphrasing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Uses paraphrases that acknowledge and clarify content and emotions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Uses paraphrases that summarize and organize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Uses paraphrases that shift a conversation to different levels of abstraction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Uses non-verbal communication in paraphrasing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  <w:shd w:val="clear" w:color="auto" w:fill="E0E0E0"/>
          </w:tcPr>
          <w:p w:rsidR="008B5CF9" w:rsidRDefault="00F03F33">
            <w:r>
              <w:rPr>
                <w:rFonts w:ascii="PT Sans" w:eastAsia="PT Sans" w:hAnsi="PT Sans" w:cs="PT Sans"/>
                <w:b/>
              </w:rPr>
              <w:t>Probing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Seeks agreement on what words mean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Asks questions to clarify facts, ideas, stories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Asks questions to clarify explanations, implications, consequences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Asks questions to surface assumptions, points of view, beliefs, values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  <w:shd w:val="clear" w:color="auto" w:fill="E0E0E0"/>
          </w:tcPr>
          <w:p w:rsidR="008B5CF9" w:rsidRDefault="00F03F33">
            <w:r>
              <w:rPr>
                <w:rFonts w:ascii="PT Sans" w:eastAsia="PT Sans" w:hAnsi="PT Sans" w:cs="PT Sans"/>
                <w:b/>
              </w:rPr>
              <w:t>Putting Ideas on the Table and Pulling Them Off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States intention of communication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Reveals all relevant information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Considers intended communication for relevance and appropriateness before speaking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Provides facts, inferences, ideas, opinions, suggestions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Explains reasons behind statements, questions, and actions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rPr>
          <w:trHeight w:val="318"/>
        </w:trPr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Removes, or announces, the modification of own ideas, opinions, points of view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  <w:shd w:val="clear" w:color="auto" w:fill="E0E0E0"/>
          </w:tcPr>
          <w:p w:rsidR="008B5CF9" w:rsidRDefault="00F03F33">
            <w:r>
              <w:rPr>
                <w:rFonts w:ascii="PT Sans" w:eastAsia="PT Sans" w:hAnsi="PT Sans" w:cs="PT Sans"/>
                <w:b/>
              </w:rPr>
              <w:t>Paying Attention to Self and Others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Maintains awareness of own thoughts and feelings while having them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Maintains awareness of others’ voice patterns, non-verbal communications, and use of physical space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c>
          <w:tcPr>
            <w:tcW w:w="7323" w:type="dxa"/>
          </w:tcPr>
          <w:p w:rsidR="008B5CF9" w:rsidRDefault="00F03F33">
            <w:r>
              <w:rPr>
                <w:rFonts w:ascii="PT Sans" w:eastAsia="PT Sans" w:hAnsi="PT Sans" w:cs="PT Sans"/>
                <w:sz w:val="20"/>
                <w:szCs w:val="20"/>
              </w:rPr>
              <w:t>Maintains awareness of groups’ tasks, mood, and relevance of own and others’ contributions</w:t>
            </w:r>
          </w:p>
        </w:tc>
        <w:tc>
          <w:tcPr>
            <w:tcW w:w="900" w:type="dxa"/>
          </w:tcPr>
          <w:p w:rsidR="008B5CF9" w:rsidRDefault="008B5CF9"/>
        </w:tc>
        <w:tc>
          <w:tcPr>
            <w:tcW w:w="1440" w:type="dxa"/>
          </w:tcPr>
          <w:p w:rsidR="008B5CF9" w:rsidRDefault="008B5CF9"/>
        </w:tc>
        <w:tc>
          <w:tcPr>
            <w:tcW w:w="1260" w:type="dxa"/>
          </w:tcPr>
          <w:p w:rsidR="008B5CF9" w:rsidRDefault="008B5CF9"/>
        </w:tc>
      </w:tr>
      <w:tr w:rsidR="008B5CF9" w:rsidTr="00FB7C50">
        <w:trPr>
          <w:trHeight w:val="280"/>
        </w:trPr>
        <w:tc>
          <w:tcPr>
            <w:tcW w:w="7323" w:type="dxa"/>
            <w:shd w:val="clear" w:color="auto" w:fill="E0E0E0"/>
          </w:tcPr>
          <w:p w:rsidR="008B5CF9" w:rsidRDefault="00F03F33">
            <w:pPr>
              <w:spacing w:after="130"/>
            </w:pPr>
            <w:r>
              <w:rPr>
                <w:rFonts w:ascii="PT Sans" w:eastAsia="PT Sans" w:hAnsi="PT Sans" w:cs="PT Sans"/>
                <w:b/>
              </w:rPr>
              <w:t>Presuming Positive Intentions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rPr>
          <w:trHeight w:val="327"/>
        </w:trPr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Acts as if others mean well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 xml:space="preserve">Restrains impulsivity triggered by own emotional responses 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Uses positive presuppositions when responding to and inquiring of others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rPr>
          <w:trHeight w:val="300"/>
        </w:trPr>
        <w:tc>
          <w:tcPr>
            <w:tcW w:w="7323" w:type="dxa"/>
            <w:shd w:val="clear" w:color="auto" w:fill="E0E0E0"/>
          </w:tcPr>
          <w:p w:rsidR="008B5CF9" w:rsidRDefault="00F03F33">
            <w:pPr>
              <w:spacing w:after="130"/>
            </w:pPr>
            <w:r>
              <w:rPr>
                <w:rFonts w:ascii="PT Sans" w:eastAsia="PT Sans" w:hAnsi="PT Sans" w:cs="PT Sans"/>
                <w:b/>
              </w:rPr>
              <w:t>Pursuing a Balance Between Advocacy and Inquiry</w:t>
            </w:r>
          </w:p>
        </w:tc>
        <w:tc>
          <w:tcPr>
            <w:tcW w:w="900" w:type="dxa"/>
            <w:shd w:val="clear" w:color="auto" w:fill="E0E0E0"/>
          </w:tcPr>
          <w:p w:rsidR="008B5CF9" w:rsidRDefault="008B5CF9"/>
        </w:tc>
        <w:tc>
          <w:tcPr>
            <w:tcW w:w="1440" w:type="dxa"/>
            <w:shd w:val="clear" w:color="auto" w:fill="E0E0E0"/>
          </w:tcPr>
          <w:p w:rsidR="008B5CF9" w:rsidRDefault="008B5CF9"/>
        </w:tc>
        <w:tc>
          <w:tcPr>
            <w:tcW w:w="1260" w:type="dxa"/>
            <w:shd w:val="clear" w:color="auto" w:fill="E0E0E0"/>
          </w:tcPr>
          <w:p w:rsidR="008B5CF9" w:rsidRDefault="008B5CF9"/>
        </w:tc>
      </w:tr>
      <w:tr w:rsidR="008B5CF9" w:rsidTr="00FB7C50">
        <w:trPr>
          <w:trHeight w:val="345"/>
        </w:trPr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Advocates for own ideas and inquires into ideas of others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Acts to provide equitable opportunities fo</w:t>
            </w:r>
            <w:bookmarkStart w:id="6" w:name="_GoBack"/>
            <w:bookmarkEnd w:id="6"/>
            <w:r>
              <w:rPr>
                <w:rFonts w:ascii="PT Sans" w:eastAsia="PT Sans" w:hAnsi="PT Sans" w:cs="PT Sans"/>
                <w:sz w:val="20"/>
                <w:szCs w:val="20"/>
              </w:rPr>
              <w:t>r participation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Presents rationales for positions, including assumptions, facts, and feelings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Disagrees respectfully and openly with ideas and offers rationale for disagreement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  <w:tr w:rsidR="008B5CF9" w:rsidTr="00FB7C50">
        <w:tc>
          <w:tcPr>
            <w:tcW w:w="7323" w:type="dxa"/>
          </w:tcPr>
          <w:p w:rsidR="008B5CF9" w:rsidRDefault="00F03F33" w:rsidP="00FB7C50">
            <w:r>
              <w:rPr>
                <w:rFonts w:ascii="PT Sans" w:eastAsia="PT Sans" w:hAnsi="PT Sans" w:cs="PT Sans"/>
                <w:sz w:val="20"/>
                <w:szCs w:val="20"/>
              </w:rPr>
              <w:t>Inquires of others about their reasons for reaching and occupying a position</w:t>
            </w:r>
          </w:p>
        </w:tc>
        <w:tc>
          <w:tcPr>
            <w:tcW w:w="900" w:type="dxa"/>
          </w:tcPr>
          <w:p w:rsidR="008B5CF9" w:rsidRDefault="008B5CF9" w:rsidP="00FB7C50"/>
        </w:tc>
        <w:tc>
          <w:tcPr>
            <w:tcW w:w="1440" w:type="dxa"/>
          </w:tcPr>
          <w:p w:rsidR="008B5CF9" w:rsidRDefault="008B5CF9" w:rsidP="00FB7C50"/>
        </w:tc>
        <w:tc>
          <w:tcPr>
            <w:tcW w:w="1260" w:type="dxa"/>
          </w:tcPr>
          <w:p w:rsidR="008B5CF9" w:rsidRDefault="008B5CF9" w:rsidP="00FB7C50"/>
        </w:tc>
      </w:tr>
    </w:tbl>
    <w:p w:rsidR="008B5CF9" w:rsidRDefault="00F03F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228600</wp:posOffset>
                </wp:positionV>
                <wp:extent cx="5753100" cy="3556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308" y="3606010"/>
                          <a:ext cx="5747384" cy="3479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B5CF9" w:rsidRDefault="00F03F33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</w:rPr>
                              <w:t xml:space="preserve">Adapted from, and used with permission of, the publishers of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</w:rPr>
                              <w:t xml:space="preserve">, R. &amp; Wellman,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</w:rPr>
                              <w:t>B. The Adaptive School: A Sourcebook for Developing Collaborative Groups. Norwood, MA. Christopher-Gordon.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5pt;margin-top:18pt;width:453pt;height:2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" o:allowincell="f" fillcolor="#dbe5f1">
                <v:textbox inset="2.53958mm,1.2694mm,2.53958mm,1.2694mm">
                  <w:txbxContent>
                    <w:p w:rsidR="008B5CF9" w:rsidRDefault="00F03F33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i/>
                          <w:sz w:val="16"/>
                        </w:rPr>
                        <w:t xml:space="preserve">Adapted from, and used with permission of, the publishers of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i/>
                          <w:sz w:val="16"/>
                        </w:rPr>
                        <w:t>Garmston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i/>
                          <w:sz w:val="16"/>
                        </w:rPr>
                        <w:t xml:space="preserve">, R. &amp; Wellman, </w:t>
                      </w:r>
                      <w:r>
                        <w:rPr>
                          <w:rFonts w:ascii="Verdana" w:eastAsia="Verdana" w:hAnsi="Verdana" w:cs="Verdana"/>
                          <w:i/>
                          <w:sz w:val="16"/>
                        </w:rPr>
                        <w:t>B. The Adaptive School: A Sourcebook for Developing Collaborative Groups. Norwood, MA. Christopher-Gordon.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5CF9" w:rsidRDefault="008B5CF9"/>
    <w:sectPr w:rsidR="008B5CF9" w:rsidSect="00FB7C50">
      <w:headerReference w:type="default" r:id="rId9"/>
      <w:pgSz w:w="12240" w:h="15840"/>
      <w:pgMar w:top="36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3F33">
      <w:r>
        <w:separator/>
      </w:r>
    </w:p>
  </w:endnote>
  <w:endnote w:type="continuationSeparator" w:id="0">
    <w:p w:rsidR="00000000" w:rsidRDefault="00F0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  <w:font w:name="Nova Mon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3F33">
      <w:r>
        <w:separator/>
      </w:r>
    </w:p>
  </w:footnote>
  <w:footnote w:type="continuationSeparator" w:id="0">
    <w:p w:rsidR="00000000" w:rsidRDefault="00F0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F9" w:rsidRDefault="008B5C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E4"/>
    <w:multiLevelType w:val="multilevel"/>
    <w:tmpl w:val="07F6E08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27A773D7"/>
    <w:multiLevelType w:val="multilevel"/>
    <w:tmpl w:val="7DC44A6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322D15F7"/>
    <w:multiLevelType w:val="multilevel"/>
    <w:tmpl w:val="B61005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3D7A2CC8"/>
    <w:multiLevelType w:val="multilevel"/>
    <w:tmpl w:val="4F585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31532BF"/>
    <w:multiLevelType w:val="multilevel"/>
    <w:tmpl w:val="29E216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4702E44"/>
    <w:multiLevelType w:val="multilevel"/>
    <w:tmpl w:val="34B8C5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62B2AE6"/>
    <w:multiLevelType w:val="multilevel"/>
    <w:tmpl w:val="D13C99A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4D34126A"/>
    <w:multiLevelType w:val="multilevel"/>
    <w:tmpl w:val="274032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244337B"/>
    <w:multiLevelType w:val="multilevel"/>
    <w:tmpl w:val="76C042F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 w15:restartNumberingAfterBreak="0">
    <w:nsid w:val="6744694A"/>
    <w:multiLevelType w:val="multilevel"/>
    <w:tmpl w:val="EFFE7D0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700B248D"/>
    <w:multiLevelType w:val="multilevel"/>
    <w:tmpl w:val="C52A889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73F12AE7"/>
    <w:multiLevelType w:val="multilevel"/>
    <w:tmpl w:val="22E4C9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4512333"/>
    <w:multiLevelType w:val="multilevel"/>
    <w:tmpl w:val="03427BD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3" w15:restartNumberingAfterBreak="0">
    <w:nsid w:val="7A2C3339"/>
    <w:multiLevelType w:val="multilevel"/>
    <w:tmpl w:val="A98611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F966A35"/>
    <w:multiLevelType w:val="multilevel"/>
    <w:tmpl w:val="73F0184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14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CF9"/>
    <w:rsid w:val="008B5CF9"/>
    <w:rsid w:val="00F03F3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E579"/>
  <w15:docId w15:val="{79E2B035-0ABF-4FA6-921B-6232E40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eer-ed.com/moodle/pluginfile.php?file=/10627/mod_lesson/page_contents/272/Coaching_Skills_Cue_Car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peer-ed.com/moodle/pluginfile.php?file=/10627/mod_lesson/page_contents/272/Coaching_Skills_Cue_Car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Greenberg, Allison L.</dc:creator>
  <cp:lastModifiedBy>Greenberg, Allison L.</cp:lastModifiedBy>
  <cp:revision>2</cp:revision>
  <dcterms:created xsi:type="dcterms:W3CDTF">2016-04-13T19:17:00Z</dcterms:created>
  <dcterms:modified xsi:type="dcterms:W3CDTF">2016-04-13T19:17:00Z</dcterms:modified>
</cp:coreProperties>
</file>